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FFA66" w14:textId="77777777" w:rsidR="004E6BFB" w:rsidRDefault="004E6BFB" w:rsidP="00A17623">
      <w:pPr>
        <w:framePr w:w="10800" w:h="1903" w:hRule="exact" w:hSpace="187" w:wrap="auto" w:vAnchor="page" w:hAnchor="page" w:x="714" w:y="1085"/>
        <w:jc w:val="center"/>
        <w:rPr>
          <w:sz w:val="24"/>
          <w:szCs w:val="24"/>
        </w:rPr>
      </w:pPr>
    </w:p>
    <w:p w14:paraId="3D8DFC9F" w14:textId="587C22CD" w:rsidR="00C3529C" w:rsidRPr="00284B1E" w:rsidRDefault="00ED61A4" w:rsidP="00A17623">
      <w:pPr>
        <w:framePr w:w="10800" w:h="1903" w:hRule="exact" w:hSpace="187" w:wrap="auto" w:vAnchor="page" w:hAnchor="page" w:x="714" w:y="1085"/>
        <w:jc w:val="center"/>
        <w:rPr>
          <w:sz w:val="24"/>
          <w:szCs w:val="24"/>
        </w:rPr>
      </w:pPr>
      <w:r w:rsidRPr="00284B1E">
        <w:rPr>
          <w:sz w:val="24"/>
          <w:szCs w:val="24"/>
        </w:rPr>
        <w:t xml:space="preserve"> </w:t>
      </w:r>
      <w:r w:rsidR="00C3529C" w:rsidRPr="00284B1E">
        <w:rPr>
          <w:sz w:val="24"/>
          <w:szCs w:val="24"/>
        </w:rPr>
        <w:t xml:space="preserve">       </w:t>
      </w:r>
      <w:r w:rsidR="00C3529C" w:rsidRPr="00284B1E">
        <w:rPr>
          <w:sz w:val="24"/>
          <w:szCs w:val="24"/>
        </w:rPr>
        <w:tab/>
      </w:r>
      <w:r w:rsidR="00C3529C" w:rsidRPr="00284B1E">
        <w:rPr>
          <w:sz w:val="24"/>
          <w:szCs w:val="24"/>
        </w:rPr>
        <w:tab/>
      </w:r>
      <w:r w:rsidR="00C3529C" w:rsidRPr="00284B1E">
        <w:rPr>
          <w:sz w:val="24"/>
          <w:szCs w:val="24"/>
        </w:rPr>
        <w:tab/>
      </w:r>
      <w:r w:rsidR="00C3529C" w:rsidRPr="00284B1E">
        <w:rPr>
          <w:sz w:val="24"/>
          <w:szCs w:val="24"/>
        </w:rPr>
        <w:tab/>
      </w:r>
      <w:r w:rsidR="00C3529C" w:rsidRPr="00284B1E">
        <w:rPr>
          <w:sz w:val="24"/>
          <w:szCs w:val="24"/>
        </w:rPr>
        <w:tab/>
      </w:r>
      <w:r w:rsidR="00C3529C" w:rsidRPr="00284B1E">
        <w:rPr>
          <w:sz w:val="24"/>
          <w:szCs w:val="24"/>
        </w:rPr>
        <w:tab/>
      </w:r>
      <w:r w:rsidR="00C3529C" w:rsidRPr="00284B1E">
        <w:rPr>
          <w:sz w:val="24"/>
          <w:szCs w:val="24"/>
        </w:rPr>
        <w:tab/>
      </w:r>
      <w:r w:rsidR="00C3529C" w:rsidRPr="00284B1E">
        <w:rPr>
          <w:sz w:val="24"/>
          <w:szCs w:val="24"/>
        </w:rPr>
        <w:tab/>
      </w:r>
      <w:r w:rsidR="00C3529C" w:rsidRPr="00284B1E">
        <w:rPr>
          <w:sz w:val="24"/>
          <w:szCs w:val="24"/>
        </w:rPr>
        <w:tab/>
        <w:t xml:space="preserve">                                                 </w:t>
      </w:r>
      <w:r w:rsidR="00C3529C" w:rsidRPr="00284B1E">
        <w:rPr>
          <w:sz w:val="24"/>
          <w:szCs w:val="24"/>
        </w:rPr>
        <w:tab/>
      </w:r>
    </w:p>
    <w:p w14:paraId="13FC5983" w14:textId="6280126F" w:rsidR="00C3529C" w:rsidRPr="0036533E" w:rsidRDefault="00AB467B" w:rsidP="00A17623">
      <w:pPr>
        <w:pStyle w:val="BodyText"/>
        <w:framePr w:w="10800" w:h="1903" w:hRule="exact" w:hSpace="187" w:wrap="auto" w:vAnchor="page" w:hAnchor="page" w:x="714" w:y="1085"/>
        <w:rPr>
          <w:b/>
          <w:sz w:val="28"/>
          <w:szCs w:val="28"/>
        </w:rPr>
      </w:pPr>
      <w:r w:rsidRPr="0036533E">
        <w:rPr>
          <w:b/>
          <w:i/>
          <w:caps/>
          <w:sz w:val="28"/>
          <w:szCs w:val="28"/>
        </w:rPr>
        <w:t xml:space="preserve">HOW DO ROADMAPS AND THEIR FRAMING </w:t>
      </w:r>
      <w:proofErr w:type="gramStart"/>
      <w:r w:rsidRPr="0036533E">
        <w:rPr>
          <w:b/>
          <w:i/>
          <w:caps/>
          <w:sz w:val="28"/>
          <w:szCs w:val="28"/>
        </w:rPr>
        <w:t>IMPACT</w:t>
      </w:r>
      <w:proofErr w:type="gramEnd"/>
      <w:r w:rsidRPr="0036533E">
        <w:rPr>
          <w:b/>
          <w:i/>
          <w:caps/>
          <w:sz w:val="28"/>
          <w:szCs w:val="28"/>
        </w:rPr>
        <w:t xml:space="preserve"> REGULATORY DECISIONS TOWARDS ENVIRONMENTAL TARGETS?</w:t>
      </w:r>
    </w:p>
    <w:p w14:paraId="5302B5C1" w14:textId="38BFDEC1" w:rsidR="00C3529C" w:rsidRPr="0036533E" w:rsidRDefault="00C3529C" w:rsidP="00A17623">
      <w:pPr>
        <w:pStyle w:val="BodyText"/>
        <w:framePr w:w="10800" w:h="1903" w:hRule="exact" w:hSpace="187" w:wrap="auto" w:vAnchor="page" w:hAnchor="page" w:x="714" w:y="1085"/>
        <w:jc w:val="right"/>
        <w:rPr>
          <w:sz w:val="20"/>
        </w:rPr>
      </w:pPr>
      <w:proofErr w:type="spellStart"/>
      <w:r w:rsidRPr="0036533E">
        <w:rPr>
          <w:sz w:val="20"/>
        </w:rPr>
        <w:t>Busra</w:t>
      </w:r>
      <w:proofErr w:type="spellEnd"/>
      <w:r w:rsidRPr="0036533E">
        <w:rPr>
          <w:sz w:val="20"/>
        </w:rPr>
        <w:t xml:space="preserve"> </w:t>
      </w:r>
      <w:proofErr w:type="spellStart"/>
      <w:r w:rsidRPr="0036533E">
        <w:rPr>
          <w:sz w:val="20"/>
        </w:rPr>
        <w:t>Gencer</w:t>
      </w:r>
      <w:proofErr w:type="spellEnd"/>
      <w:r w:rsidRPr="0036533E">
        <w:rPr>
          <w:sz w:val="20"/>
        </w:rPr>
        <w:t>, HEC Lausanne – University of Lausanne</w:t>
      </w:r>
      <w:r w:rsidR="007D58AD" w:rsidRPr="0036533E">
        <w:rPr>
          <w:sz w:val="20"/>
        </w:rPr>
        <w:t>, +</w:t>
      </w:r>
      <w:r w:rsidRPr="0036533E">
        <w:rPr>
          <w:sz w:val="20"/>
        </w:rPr>
        <w:t xml:space="preserve">41 21 692 3665, Busra.Gencer@unil.ch </w:t>
      </w:r>
    </w:p>
    <w:p w14:paraId="6512282A" w14:textId="05C52EB2" w:rsidR="009B4B94" w:rsidRPr="0036533E" w:rsidRDefault="009B4B94" w:rsidP="00A17623">
      <w:pPr>
        <w:pStyle w:val="BodyText"/>
        <w:framePr w:w="10800" w:h="1903" w:hRule="exact" w:hSpace="187" w:wrap="auto" w:vAnchor="page" w:hAnchor="page" w:x="714" w:y="1085"/>
        <w:jc w:val="right"/>
        <w:rPr>
          <w:sz w:val="20"/>
        </w:rPr>
      </w:pPr>
      <w:r w:rsidRPr="0036533E">
        <w:rPr>
          <w:sz w:val="20"/>
        </w:rPr>
        <w:t xml:space="preserve">Ann van </w:t>
      </w:r>
      <w:proofErr w:type="spellStart"/>
      <w:r w:rsidRPr="0036533E">
        <w:rPr>
          <w:sz w:val="20"/>
        </w:rPr>
        <w:t>Ackere</w:t>
      </w:r>
      <w:proofErr w:type="spellEnd"/>
      <w:r w:rsidRPr="0036533E">
        <w:rPr>
          <w:sz w:val="20"/>
        </w:rPr>
        <w:t xml:space="preserve">, HEC Lausanne – University of Lausanne, +41 21 692 3454, Ann.VanAckere@unil.ch </w:t>
      </w:r>
    </w:p>
    <w:p w14:paraId="64913B23" w14:textId="77777777" w:rsidR="00C3529C" w:rsidRPr="00284B1E" w:rsidRDefault="00C3529C" w:rsidP="00A17623">
      <w:pPr>
        <w:pStyle w:val="copyright"/>
        <w:spacing w:line="240" w:lineRule="auto"/>
        <w:rPr>
          <w:sz w:val="24"/>
          <w:szCs w:val="24"/>
        </w:rPr>
      </w:pPr>
    </w:p>
    <w:p w14:paraId="3296A826" w14:textId="77777777" w:rsidR="00C3529C" w:rsidRPr="0036533E" w:rsidRDefault="00C3529C" w:rsidP="00835D06">
      <w:pPr>
        <w:pStyle w:val="Heading2"/>
        <w:ind w:left="-810" w:firstLine="810"/>
        <w:jc w:val="both"/>
        <w:rPr>
          <w:i w:val="0"/>
          <w:sz w:val="24"/>
          <w:szCs w:val="24"/>
        </w:rPr>
      </w:pPr>
      <w:r w:rsidRPr="0036533E">
        <w:rPr>
          <w:i w:val="0"/>
          <w:sz w:val="24"/>
          <w:szCs w:val="24"/>
        </w:rPr>
        <w:t>Overview</w:t>
      </w:r>
    </w:p>
    <w:p w14:paraId="5FF7E950" w14:textId="77777777" w:rsidR="00C43C25" w:rsidRPr="00835D06" w:rsidRDefault="008E57FE" w:rsidP="00835D06">
      <w:pPr>
        <w:spacing w:after="120"/>
        <w:jc w:val="both"/>
        <w:rPr>
          <w:lang w:val="en-US"/>
        </w:rPr>
      </w:pPr>
      <w:r w:rsidRPr="00835D06">
        <w:t xml:space="preserve">For a reliable and sustainable energy future, most countries have </w:t>
      </w:r>
      <w:r w:rsidR="00580D4A" w:rsidRPr="00835D06">
        <w:t xml:space="preserve">defined </w:t>
      </w:r>
      <w:r w:rsidRPr="00835D06">
        <w:t>renewable energy targets</w:t>
      </w:r>
      <w:r w:rsidR="005417F5" w:rsidRPr="00835D06">
        <w:t>,</w:t>
      </w:r>
      <w:r w:rsidRPr="00835D06">
        <w:t xml:space="preserve"> many</w:t>
      </w:r>
      <w:r w:rsidR="005417F5" w:rsidRPr="00835D06">
        <w:t xml:space="preserve"> </w:t>
      </w:r>
      <w:r w:rsidR="00580D4A" w:rsidRPr="00835D06">
        <w:t xml:space="preserve">of which focus </w:t>
      </w:r>
      <w:r w:rsidRPr="00835D06">
        <w:t xml:space="preserve">on the electricity sector. </w:t>
      </w:r>
      <w:r w:rsidR="009A15FD" w:rsidRPr="00835D06">
        <w:rPr>
          <w:lang w:val="en-US"/>
        </w:rPr>
        <w:t xml:space="preserve">To achieve these long-term targets, policymakers often determine intermediary objectives, i.e., a sequence of sub-goals on the way towards the final objective, defined as roadmaps. These roadmaps depend on the market characteristics and take different forms in terms of time scale, metrics and obligations </w:t>
      </w:r>
      <w:r w:rsidR="005417F5" w:rsidRPr="00835D06">
        <w:rPr>
          <w:lang w:val="en-US"/>
        </w:rPr>
        <w:fldChar w:fldCharType="begin" w:fldLock="1"/>
      </w:r>
      <w:r w:rsidR="005417F5" w:rsidRPr="00835D06">
        <w:rPr>
          <w:lang w:val="en-US"/>
        </w:rPr>
        <w:instrText>ADDIN CSL_CITATION {"citationItems":[{"id":"ITEM-1","itemData":{"ISBN":"9780987382801","abstract":"Unless otherwise stated, this publication and material featured herein are the property of the International Renewable Energy Agency (IRENA) and are subject to copyright by IRENA. Material in this publication may be freely used, shared, copied, repro-duced, printed and/or stored, provided that all such material is clearly attributed to IRENA and bears a notation that it is subject to copyright (© IRENA 2015). Material contained in this publication attributed to third parties may be subject to third party copyright and separate terms of use and restrictions, including restrictions in relation to any commercial use. This publication should be cited as: IRENA (2015), 'Renewable Energy Target Setting'.","author":[{"dropping-particle":"","family":"IRENA","given":"","non-dropping-particle":"","parse-names":false,"suffix":""}],"container-title":"Irena","id":"ITEM-1","issue":"June","issued":{"date-parts":[["2015"]]},"number-of-pages":"80","title":"Renewable Energy Target Setting","type":"report"},"uris":["http://www.mendeley.com/documents/?uuid=c4b7d6ed-ae18-4954-8689-65e321e89b39"]}],"mendeley":{"formattedCitation":"(IRENA, 2015)","plainTextFormattedCitation":"(IRENA, 2015)","previouslyFormattedCitation":"(IRENA, 2015)"},"properties":{"noteIndex":0},"schema":"https://github.com/citation-style-language/schema/raw/master/csl-citation.json"}</w:instrText>
      </w:r>
      <w:r w:rsidR="005417F5" w:rsidRPr="00835D06">
        <w:rPr>
          <w:lang w:val="en-US"/>
        </w:rPr>
        <w:fldChar w:fldCharType="separate"/>
      </w:r>
      <w:r w:rsidR="005417F5" w:rsidRPr="00835D06">
        <w:rPr>
          <w:noProof/>
          <w:lang w:val="en-US"/>
        </w:rPr>
        <w:t>(IRENA, 2015)</w:t>
      </w:r>
      <w:r w:rsidR="005417F5" w:rsidRPr="00835D06">
        <w:rPr>
          <w:lang w:val="en-US"/>
        </w:rPr>
        <w:fldChar w:fldCharType="end"/>
      </w:r>
      <w:r w:rsidR="005417F5" w:rsidRPr="00835D06">
        <w:rPr>
          <w:lang w:val="en-US"/>
        </w:rPr>
        <w:t>.</w:t>
      </w:r>
    </w:p>
    <w:p w14:paraId="7C0C7766" w14:textId="1EC0E1C7" w:rsidR="00C43C25" w:rsidRPr="00835D06" w:rsidRDefault="009A15FD" w:rsidP="00835D06">
      <w:pPr>
        <w:spacing w:after="120"/>
        <w:jc w:val="both"/>
        <w:rPr>
          <w:lang w:val="en-US"/>
        </w:rPr>
      </w:pPr>
      <w:r w:rsidRPr="00835D06">
        <w:rPr>
          <w:lang w:val="en-US"/>
        </w:rPr>
        <w:t>In this work, we study the influence of roadmaps on regulatory decisions and market performance using laboratory experiments.</w:t>
      </w:r>
      <w:r w:rsidR="00400B1C" w:rsidRPr="00835D06">
        <w:rPr>
          <w:lang w:val="en-US"/>
        </w:rPr>
        <w:t xml:space="preserve"> The recruited subjects </w:t>
      </w:r>
      <w:r w:rsidR="00205DAA" w:rsidRPr="00835D06">
        <w:rPr>
          <w:lang w:val="en-US"/>
        </w:rPr>
        <w:t>take on</w:t>
      </w:r>
      <w:r w:rsidR="00400B1C" w:rsidRPr="00835D06">
        <w:rPr>
          <w:lang w:val="en-US"/>
        </w:rPr>
        <w:t xml:space="preserve"> the role of </w:t>
      </w:r>
      <w:r w:rsidR="00205DAA" w:rsidRPr="00835D06">
        <w:rPr>
          <w:lang w:val="en-US"/>
        </w:rPr>
        <w:t xml:space="preserve">a </w:t>
      </w:r>
      <w:r w:rsidR="00400B1C" w:rsidRPr="00835D06">
        <w:rPr>
          <w:lang w:val="en-US"/>
        </w:rPr>
        <w:t xml:space="preserve">regulator in a simple electricity market </w:t>
      </w:r>
      <w:r w:rsidR="000014F7" w:rsidRPr="00835D06">
        <w:rPr>
          <w:lang w:val="en-US"/>
        </w:rPr>
        <w:t xml:space="preserve">and decide on the amount </w:t>
      </w:r>
      <w:r w:rsidR="00205DAA" w:rsidRPr="00835D06">
        <w:rPr>
          <w:lang w:val="en-US"/>
        </w:rPr>
        <w:t xml:space="preserve">and type (“green” or “thermal”) </w:t>
      </w:r>
      <w:r w:rsidR="000014F7" w:rsidRPr="00835D06">
        <w:rPr>
          <w:lang w:val="en-US"/>
        </w:rPr>
        <w:t>of subsidized capacity. W</w:t>
      </w:r>
      <w:r w:rsidRPr="00835D06">
        <w:rPr>
          <w:lang w:val="en-US"/>
        </w:rPr>
        <w:t>e manipulate the presence (presenting a roadmap or not), the level of detail (time granularity), the framing (reducing pollution or increasing green generation) and the complexity of the roadmaps (expressed as only green generation, only pollution or both).</w:t>
      </w:r>
    </w:p>
    <w:p w14:paraId="7C1CEC65" w14:textId="77777777" w:rsidR="00C43C25" w:rsidRPr="00835D06" w:rsidRDefault="005417F5" w:rsidP="00835D06">
      <w:pPr>
        <w:spacing w:after="120"/>
        <w:jc w:val="both"/>
        <w:rPr>
          <w:lang w:val="en-US"/>
        </w:rPr>
      </w:pPr>
      <w:r w:rsidRPr="00835D06">
        <w:rPr>
          <w:lang w:val="en-US"/>
        </w:rPr>
        <w:t xml:space="preserve">We find that all of our roadmap manipulations have an impact on subsidy decisions for green capacity, while </w:t>
      </w:r>
      <w:proofErr w:type="gramStart"/>
      <w:r w:rsidRPr="00835D06">
        <w:rPr>
          <w:lang w:val="en-US"/>
        </w:rPr>
        <w:t>thermal subsidy decisions are not influenced by the granularity and the framing of roadmaps</w:t>
      </w:r>
      <w:proofErr w:type="gramEnd"/>
      <w:r w:rsidRPr="00835D06">
        <w:rPr>
          <w:lang w:val="en-US"/>
        </w:rPr>
        <w:t>. Our results also indicate that the differences in subsidy decisions do not always translate into differences in market performance.</w:t>
      </w:r>
    </w:p>
    <w:p w14:paraId="6A156DC6" w14:textId="337073F2" w:rsidR="009A15FD" w:rsidRPr="00835D06" w:rsidRDefault="005417F5" w:rsidP="00835D06">
      <w:pPr>
        <w:spacing w:after="120"/>
        <w:jc w:val="both"/>
        <w:rPr>
          <w:lang w:val="en-US"/>
        </w:rPr>
      </w:pPr>
      <w:r w:rsidRPr="00835D06">
        <w:rPr>
          <w:lang w:val="en-US"/>
        </w:rPr>
        <w:t>Our work confirms</w:t>
      </w:r>
      <w:r w:rsidR="00580D4A" w:rsidRPr="00835D06">
        <w:rPr>
          <w:lang w:val="en-US"/>
        </w:rPr>
        <w:t>,</w:t>
      </w:r>
      <w:r w:rsidRPr="00835D06">
        <w:rPr>
          <w:lang w:val="en-US"/>
        </w:rPr>
        <w:t xml:space="preserve"> </w:t>
      </w:r>
      <w:r w:rsidR="00C465E4" w:rsidRPr="00835D06">
        <w:rPr>
          <w:lang w:val="en-US"/>
        </w:rPr>
        <w:t>in the complex setting of a simplified electricity regulation exercise</w:t>
      </w:r>
      <w:r w:rsidR="00580D4A" w:rsidRPr="00835D06">
        <w:rPr>
          <w:lang w:val="en-US"/>
        </w:rPr>
        <w:t>,</w:t>
      </w:r>
      <w:r w:rsidR="00C465E4" w:rsidRPr="00835D06">
        <w:rPr>
          <w:lang w:val="en-US"/>
        </w:rPr>
        <w:t xml:space="preserve"> </w:t>
      </w:r>
      <w:r w:rsidRPr="00835D06">
        <w:rPr>
          <w:lang w:val="en-US"/>
        </w:rPr>
        <w:t xml:space="preserve">that people’s choices are prone to </w:t>
      </w:r>
      <w:proofErr w:type="gramStart"/>
      <w:r w:rsidRPr="00835D06">
        <w:rPr>
          <w:lang w:val="en-US"/>
        </w:rPr>
        <w:t>be influenced</w:t>
      </w:r>
      <w:proofErr w:type="gramEnd"/>
      <w:r w:rsidRPr="00835D06">
        <w:rPr>
          <w:lang w:val="en-US"/>
        </w:rPr>
        <w:t xml:space="preserve"> by the formulation and labeling of the options</w:t>
      </w:r>
      <w:r w:rsidR="00C465E4" w:rsidRPr="00835D06">
        <w:rPr>
          <w:lang w:val="en-US"/>
        </w:rPr>
        <w:t>.</w:t>
      </w:r>
      <w:r w:rsidRPr="00835D06">
        <w:rPr>
          <w:lang w:val="en-US"/>
        </w:rPr>
        <w:t xml:space="preserve"> Therefore, choosing roadmaps appropriately can facilitate the evolution of markets towards an environmental target. Moreover, roadmap choice</w:t>
      </w:r>
      <w:r w:rsidR="00580D4A" w:rsidRPr="00835D06">
        <w:rPr>
          <w:lang w:val="en-US"/>
        </w:rPr>
        <w:t>s</w:t>
      </w:r>
      <w:r w:rsidRPr="00835D06">
        <w:rPr>
          <w:lang w:val="en-US"/>
        </w:rPr>
        <w:t xml:space="preserve"> should </w:t>
      </w:r>
      <w:r w:rsidR="00C465E4" w:rsidRPr="00835D06">
        <w:rPr>
          <w:lang w:val="en-US"/>
        </w:rPr>
        <w:t xml:space="preserve">also </w:t>
      </w:r>
      <w:r w:rsidRPr="00835D06">
        <w:rPr>
          <w:lang w:val="en-US"/>
        </w:rPr>
        <w:t>take into consideration the market performance criteria</w:t>
      </w:r>
      <w:r w:rsidR="00C465E4" w:rsidRPr="00835D06">
        <w:rPr>
          <w:lang w:val="en-US"/>
        </w:rPr>
        <w:t xml:space="preserve"> and their relative importance</w:t>
      </w:r>
      <w:r w:rsidRPr="00835D06">
        <w:rPr>
          <w:lang w:val="en-US"/>
        </w:rPr>
        <w:t>.</w:t>
      </w:r>
    </w:p>
    <w:p w14:paraId="49D11137" w14:textId="77777777" w:rsidR="00C3529C" w:rsidRPr="0036533E" w:rsidRDefault="00C3529C" w:rsidP="00835D06">
      <w:pPr>
        <w:pStyle w:val="Heading2"/>
        <w:jc w:val="both"/>
        <w:rPr>
          <w:i w:val="0"/>
          <w:sz w:val="24"/>
          <w:szCs w:val="24"/>
        </w:rPr>
      </w:pPr>
      <w:r w:rsidRPr="0036533E">
        <w:rPr>
          <w:i w:val="0"/>
          <w:sz w:val="24"/>
          <w:szCs w:val="24"/>
        </w:rPr>
        <w:t>Methods</w:t>
      </w:r>
    </w:p>
    <w:p w14:paraId="1787FA85" w14:textId="77777777" w:rsidR="00C43C25" w:rsidRPr="00835D06" w:rsidRDefault="00620B4F" w:rsidP="00835D06">
      <w:pPr>
        <w:spacing w:after="120"/>
        <w:jc w:val="both"/>
      </w:pPr>
      <w:r w:rsidRPr="00835D06">
        <w:t>We conduct laboratory experiments</w:t>
      </w:r>
      <w:r w:rsidR="008E57FE" w:rsidRPr="00835D06">
        <w:t xml:space="preserve">, </w:t>
      </w:r>
      <w:r w:rsidR="00580D4A" w:rsidRPr="00835D06">
        <w:t>using</w:t>
      </w:r>
      <w:r w:rsidR="008E57FE" w:rsidRPr="00835D06">
        <w:t xml:space="preserve"> a simulation model created </w:t>
      </w:r>
      <w:r w:rsidR="00580D4A" w:rsidRPr="00835D06">
        <w:t>in</w:t>
      </w:r>
      <w:r w:rsidR="008E57FE" w:rsidRPr="00835D06">
        <w:rPr>
          <w:lang w:val="en-US"/>
        </w:rPr>
        <w:t xml:space="preserve"> </w:t>
      </w:r>
      <w:proofErr w:type="spellStart"/>
      <w:r w:rsidR="008E57FE" w:rsidRPr="00835D06">
        <w:rPr>
          <w:lang w:val="en-US"/>
        </w:rPr>
        <w:t>Vensim</w:t>
      </w:r>
      <w:proofErr w:type="spellEnd"/>
      <w:r w:rsidR="008E57FE" w:rsidRPr="00835D06">
        <w:rPr>
          <w:lang w:val="en-US"/>
        </w:rPr>
        <w:t xml:space="preserve">® software and </w:t>
      </w:r>
      <w:r w:rsidR="00580D4A" w:rsidRPr="00835D06">
        <w:rPr>
          <w:lang w:val="en-US"/>
        </w:rPr>
        <w:t>a</w:t>
      </w:r>
      <w:r w:rsidR="008E57FE" w:rsidRPr="00835D06">
        <w:rPr>
          <w:lang w:val="en-US"/>
        </w:rPr>
        <w:t xml:space="preserve"> user interface </w:t>
      </w:r>
      <w:r w:rsidR="00580D4A" w:rsidRPr="00835D06">
        <w:rPr>
          <w:lang w:val="en-US"/>
        </w:rPr>
        <w:t>based on</w:t>
      </w:r>
      <w:r w:rsidR="008E57FE" w:rsidRPr="00835D06">
        <w:rPr>
          <w:lang w:val="en-US"/>
        </w:rPr>
        <w:t xml:space="preserve"> the </w:t>
      </w:r>
      <w:proofErr w:type="spellStart"/>
      <w:r w:rsidR="008E57FE" w:rsidRPr="00835D06">
        <w:rPr>
          <w:lang w:val="en-US"/>
        </w:rPr>
        <w:t>Forio</w:t>
      </w:r>
      <w:proofErr w:type="spellEnd"/>
      <w:r w:rsidR="008E57FE" w:rsidRPr="00835D06">
        <w:rPr>
          <w:lang w:val="en-US"/>
        </w:rPr>
        <w:t>® Online Simulation Platform</w:t>
      </w:r>
      <w:r w:rsidR="008E57FE" w:rsidRPr="00835D06">
        <w:t xml:space="preserve">. During the experiments, participants </w:t>
      </w:r>
      <w:proofErr w:type="gramStart"/>
      <w:r w:rsidR="008E57FE" w:rsidRPr="00835D06">
        <w:t>are presented</w:t>
      </w:r>
      <w:proofErr w:type="gramEnd"/>
      <w:r w:rsidR="008E57FE" w:rsidRPr="00835D06">
        <w:t xml:space="preserve"> with a simple electricity market for which they act as regulator. In this market, there are </w:t>
      </w:r>
      <w:proofErr w:type="gramStart"/>
      <w:r w:rsidR="008E57FE" w:rsidRPr="00835D06">
        <w:t>two generation</w:t>
      </w:r>
      <w:proofErr w:type="gramEnd"/>
      <w:r w:rsidR="008E57FE" w:rsidRPr="00835D06">
        <w:t xml:space="preserve"> technologies, thermal and green, and demand is constant.</w:t>
      </w:r>
      <w:r w:rsidR="00B03CA2" w:rsidRPr="00835D06">
        <w:t xml:space="preserve"> </w:t>
      </w:r>
      <w:r w:rsidR="00B1592D" w:rsidRPr="00835D06">
        <w:t>We assume a</w:t>
      </w:r>
      <w:r w:rsidR="00B03CA2" w:rsidRPr="00835D06">
        <w:t xml:space="preserve"> merit order dispatch.</w:t>
      </w:r>
      <w:r w:rsidR="00B1592D" w:rsidRPr="00835D06">
        <w:t xml:space="preserve"> </w:t>
      </w:r>
      <w:r w:rsidR="00D67499" w:rsidRPr="00835D06">
        <w:t xml:space="preserve">In the model, there are endogenous thermal investors who decide based on thermal profitability, while green generation capacity </w:t>
      </w:r>
      <w:r w:rsidR="0044121A" w:rsidRPr="00835D06">
        <w:t>requires</w:t>
      </w:r>
      <w:r w:rsidR="00D67499" w:rsidRPr="00835D06">
        <w:t xml:space="preserve"> subsidies. </w:t>
      </w:r>
      <w:r w:rsidR="008E57FE" w:rsidRPr="00835D06">
        <w:t>The</w:t>
      </w:r>
      <w:r w:rsidR="00D67499" w:rsidRPr="00835D06">
        <w:t xml:space="preserve"> </w:t>
      </w:r>
      <w:r w:rsidR="000C4CB5" w:rsidRPr="00835D06">
        <w:t>participants’ aim</w:t>
      </w:r>
      <w:r w:rsidR="008E57FE" w:rsidRPr="00835D06">
        <w:t xml:space="preserve"> is to increase the share of green generation from 3% to 50% </w:t>
      </w:r>
      <w:r w:rsidR="00626B5F" w:rsidRPr="00835D06">
        <w:t>over</w:t>
      </w:r>
      <w:r w:rsidR="008E57FE" w:rsidRPr="00835D06">
        <w:t xml:space="preserve"> 40 years, </w:t>
      </w:r>
      <w:r w:rsidR="00626B5F" w:rsidRPr="00835D06">
        <w:t xml:space="preserve">while avoiding </w:t>
      </w:r>
      <w:r w:rsidR="005A7443" w:rsidRPr="00835D06">
        <w:t>blackout</w:t>
      </w:r>
      <w:r w:rsidR="00626B5F" w:rsidRPr="00835D06">
        <w:t>s</w:t>
      </w:r>
      <w:r w:rsidR="005A7443" w:rsidRPr="00835D06">
        <w:t xml:space="preserve">, </w:t>
      </w:r>
      <w:r w:rsidR="008E57FE" w:rsidRPr="00835D06">
        <w:t xml:space="preserve">by deciding on how many MWs of thermal and green generation capacity to </w:t>
      </w:r>
      <w:r w:rsidR="00D67499" w:rsidRPr="00835D06">
        <w:t>subsidize each year.</w:t>
      </w:r>
    </w:p>
    <w:p w14:paraId="48BA5687" w14:textId="5454FC19" w:rsidR="00D67499" w:rsidRPr="00835D06" w:rsidRDefault="00D67499" w:rsidP="00835D06">
      <w:pPr>
        <w:spacing w:after="120"/>
        <w:jc w:val="both"/>
        <w:rPr>
          <w:lang w:val="en-US"/>
        </w:rPr>
      </w:pPr>
      <w:r w:rsidRPr="00835D06">
        <w:rPr>
          <w:lang w:val="en-US"/>
        </w:rPr>
        <w:t xml:space="preserve">Each session lasts about 60 minutes; the first 20 minutes </w:t>
      </w:r>
      <w:proofErr w:type="gramStart"/>
      <w:r w:rsidRPr="00835D06">
        <w:rPr>
          <w:lang w:val="en-US"/>
        </w:rPr>
        <w:t>are dedicated</w:t>
      </w:r>
      <w:proofErr w:type="gramEnd"/>
      <w:r w:rsidRPr="00835D06">
        <w:rPr>
          <w:lang w:val="en-US"/>
        </w:rPr>
        <w:t xml:space="preserve"> to the settlement in the lab, signing of the consent form and the video presentation where the basic principles of electricity markets and the rules of simulation are introduced. Th</w:t>
      </w:r>
      <w:r w:rsidR="00580FF6" w:rsidRPr="00835D06">
        <w:rPr>
          <w:lang w:val="en-US"/>
        </w:rPr>
        <w:t xml:space="preserve">is is followed by a </w:t>
      </w:r>
      <w:proofErr w:type="gramStart"/>
      <w:r w:rsidR="00580FF6" w:rsidRPr="00835D06">
        <w:rPr>
          <w:lang w:val="en-US"/>
        </w:rPr>
        <w:t>20 minute</w:t>
      </w:r>
      <w:proofErr w:type="gramEnd"/>
      <w:r w:rsidRPr="00835D06">
        <w:rPr>
          <w:lang w:val="en-US"/>
        </w:rPr>
        <w:t xml:space="preserve"> training period</w:t>
      </w:r>
      <w:r w:rsidR="00580FF6" w:rsidRPr="00835D06">
        <w:rPr>
          <w:lang w:val="en-US"/>
        </w:rPr>
        <w:t xml:space="preserve"> </w:t>
      </w:r>
      <w:r w:rsidR="00521DC0" w:rsidRPr="00835D06">
        <w:rPr>
          <w:lang w:val="en-US"/>
        </w:rPr>
        <w:t>during</w:t>
      </w:r>
      <w:r w:rsidRPr="00835D06">
        <w:rPr>
          <w:lang w:val="en-US"/>
        </w:rPr>
        <w:t xml:space="preserve"> which </w:t>
      </w:r>
      <w:r w:rsidR="00521DC0" w:rsidRPr="00835D06">
        <w:rPr>
          <w:lang w:val="en-US"/>
        </w:rPr>
        <w:t>participants familiarize themselves with the market dynamics and the interface. F</w:t>
      </w:r>
      <w:r w:rsidRPr="00835D06">
        <w:rPr>
          <w:lang w:val="en-US"/>
        </w:rPr>
        <w:t>inally</w:t>
      </w:r>
      <w:r w:rsidR="00521DC0" w:rsidRPr="00835D06">
        <w:rPr>
          <w:lang w:val="en-US"/>
        </w:rPr>
        <w:t xml:space="preserve">, </w:t>
      </w:r>
      <w:r w:rsidRPr="00835D06">
        <w:rPr>
          <w:lang w:val="en-US"/>
        </w:rPr>
        <w:t>participants have 20 minutes for the last round</w:t>
      </w:r>
      <w:r w:rsidR="00580FF6" w:rsidRPr="00835D06">
        <w:rPr>
          <w:lang w:val="en-US"/>
        </w:rPr>
        <w:t>,</w:t>
      </w:r>
      <w:r w:rsidR="00E211C2" w:rsidRPr="00835D06">
        <w:rPr>
          <w:lang w:val="en-US"/>
        </w:rPr>
        <w:t xml:space="preserve"> on which their payment </w:t>
      </w:r>
      <w:proofErr w:type="gramStart"/>
      <w:r w:rsidR="00E211C2" w:rsidRPr="00835D06">
        <w:rPr>
          <w:lang w:val="en-US"/>
        </w:rPr>
        <w:t>is based</w:t>
      </w:r>
      <w:proofErr w:type="gramEnd"/>
      <w:r w:rsidR="00E211C2" w:rsidRPr="00835D06">
        <w:rPr>
          <w:lang w:val="en-US"/>
        </w:rPr>
        <w:t>.</w:t>
      </w:r>
      <w:r w:rsidRPr="00835D06">
        <w:rPr>
          <w:lang w:val="en-US"/>
        </w:rPr>
        <w:t xml:space="preserve"> </w:t>
      </w:r>
    </w:p>
    <w:p w14:paraId="5ACC99E9" w14:textId="4E506BD9" w:rsidR="00835D06" w:rsidRDefault="002D4208" w:rsidP="00835D06">
      <w:pPr>
        <w:spacing w:after="120"/>
        <w:jc w:val="both"/>
        <w:rPr>
          <w:lang w:val="en-US"/>
        </w:rPr>
      </w:pPr>
      <w:r w:rsidRPr="00835D06">
        <w:rPr>
          <w:lang w:val="en-US"/>
        </w:rPr>
        <w:t>A between-subject</w:t>
      </w:r>
      <w:r w:rsidRPr="00835D06">
        <w:rPr>
          <w:rStyle w:val="FootnoteReference"/>
          <w:lang w:val="en-US"/>
        </w:rPr>
        <w:footnoteReference w:id="1"/>
      </w:r>
      <w:r w:rsidRPr="00835D06">
        <w:rPr>
          <w:lang w:val="en-US"/>
        </w:rPr>
        <w:t xml:space="preserve"> approach </w:t>
      </w:r>
      <w:proofErr w:type="gramStart"/>
      <w:r w:rsidRPr="00835D06">
        <w:rPr>
          <w:lang w:val="en-US"/>
        </w:rPr>
        <w:t>is adopted</w:t>
      </w:r>
      <w:proofErr w:type="gramEnd"/>
      <w:r w:rsidRPr="00835D06">
        <w:rPr>
          <w:lang w:val="en-US"/>
        </w:rPr>
        <w:t xml:space="preserve"> for the study. </w:t>
      </w:r>
      <w:r w:rsidR="00F05FD1" w:rsidRPr="00835D06">
        <w:rPr>
          <w:lang w:val="en-US"/>
        </w:rPr>
        <w:t>We manipulate (</w:t>
      </w:r>
      <w:proofErr w:type="spellStart"/>
      <w:r w:rsidR="00F05FD1" w:rsidRPr="00835D06">
        <w:rPr>
          <w:lang w:val="en-US"/>
        </w:rPr>
        <w:t>i</w:t>
      </w:r>
      <w:proofErr w:type="spellEnd"/>
      <w:r w:rsidR="00F05FD1" w:rsidRPr="00835D06">
        <w:rPr>
          <w:lang w:val="en-US"/>
        </w:rPr>
        <w:t>) presence, (ii) framing</w:t>
      </w:r>
      <w:r w:rsidR="00E37238" w:rsidRPr="00835D06">
        <w:rPr>
          <w:lang w:val="en-US"/>
        </w:rPr>
        <w:t>,</w:t>
      </w:r>
      <w:r w:rsidR="00F05FD1" w:rsidRPr="00835D06">
        <w:rPr>
          <w:lang w:val="en-US"/>
        </w:rPr>
        <w:t xml:space="preserve"> (iii) time granularity </w:t>
      </w:r>
      <w:r w:rsidR="00580FF6" w:rsidRPr="00835D06">
        <w:rPr>
          <w:lang w:val="en-US"/>
        </w:rPr>
        <w:t xml:space="preserve">and </w:t>
      </w:r>
      <w:proofErr w:type="gramStart"/>
      <w:r w:rsidR="00580FF6" w:rsidRPr="00835D06">
        <w:rPr>
          <w:lang w:val="en-US"/>
        </w:rPr>
        <w:t xml:space="preserve">(iv) </w:t>
      </w:r>
      <w:r w:rsidR="009A15FD" w:rsidRPr="00835D06">
        <w:rPr>
          <w:lang w:val="en-US"/>
        </w:rPr>
        <w:t>complexity</w:t>
      </w:r>
      <w:proofErr w:type="gramEnd"/>
      <w:r w:rsidR="00580FF6" w:rsidRPr="00835D06">
        <w:rPr>
          <w:lang w:val="en-US"/>
        </w:rPr>
        <w:t xml:space="preserve"> of</w:t>
      </w:r>
      <w:r w:rsidR="00F05FD1" w:rsidRPr="00835D06">
        <w:rPr>
          <w:lang w:val="en-US"/>
        </w:rPr>
        <w:t xml:space="preserve"> the roadmaps to test their effect on environmental targets with five treatment groups. The roadmap names and their definition </w:t>
      </w:r>
      <w:proofErr w:type="gramStart"/>
      <w:r w:rsidR="00F05FD1" w:rsidRPr="00835D06">
        <w:rPr>
          <w:lang w:val="en-US"/>
        </w:rPr>
        <w:t>are summarized</w:t>
      </w:r>
      <w:proofErr w:type="gramEnd"/>
      <w:r w:rsidR="00F05FD1" w:rsidRPr="00835D06">
        <w:rPr>
          <w:lang w:val="en-US"/>
        </w:rPr>
        <w:t xml:space="preserve"> in Table 1. In the first treatment (F), the participants </w:t>
      </w:r>
      <w:proofErr w:type="gramStart"/>
      <w:r w:rsidR="00F05FD1" w:rsidRPr="00835D06">
        <w:rPr>
          <w:lang w:val="en-US"/>
        </w:rPr>
        <w:t>are presented</w:t>
      </w:r>
      <w:proofErr w:type="gramEnd"/>
      <w:r w:rsidR="00F05FD1" w:rsidRPr="00835D06">
        <w:rPr>
          <w:lang w:val="en-US"/>
        </w:rPr>
        <w:t xml:space="preserve"> with only the final target </w:t>
      </w:r>
      <w:r w:rsidR="00580FF6" w:rsidRPr="00835D06">
        <w:rPr>
          <w:lang w:val="en-US"/>
        </w:rPr>
        <w:t>(</w:t>
      </w:r>
      <w:r w:rsidR="00F05FD1" w:rsidRPr="00835D06">
        <w:rPr>
          <w:lang w:val="en-US"/>
        </w:rPr>
        <w:t>50% of renewable generation</w:t>
      </w:r>
      <w:r w:rsidR="00580FF6" w:rsidRPr="00835D06">
        <w:rPr>
          <w:lang w:val="en-US"/>
        </w:rPr>
        <w:t>)</w:t>
      </w:r>
      <w:r w:rsidR="00F05FD1" w:rsidRPr="00835D06">
        <w:rPr>
          <w:lang w:val="en-US"/>
        </w:rPr>
        <w:t xml:space="preserve">. Treatments G1 and G5 represent roadmaps for the green share of generation target, respectively for each year and every five years. The treatment P1 has mathematically the same objectives as G1, but </w:t>
      </w:r>
      <w:proofErr w:type="gramStart"/>
      <w:r w:rsidR="00F05FD1" w:rsidRPr="00835D06">
        <w:rPr>
          <w:lang w:val="en-US"/>
        </w:rPr>
        <w:t>is framed</w:t>
      </w:r>
      <w:proofErr w:type="gramEnd"/>
      <w:r w:rsidR="00F05FD1" w:rsidRPr="00835D06">
        <w:rPr>
          <w:lang w:val="en-US"/>
        </w:rPr>
        <w:t xml:space="preserve"> as decreasing pollution rather than as increasing the green share of generation. In treatment G1P1, P1 </w:t>
      </w:r>
      <w:proofErr w:type="gramStart"/>
      <w:r w:rsidR="00F05FD1" w:rsidRPr="00835D06">
        <w:rPr>
          <w:lang w:val="en-US"/>
        </w:rPr>
        <w:t>is coupled</w:t>
      </w:r>
      <w:proofErr w:type="gramEnd"/>
      <w:r w:rsidR="00F05FD1" w:rsidRPr="00835D06">
        <w:rPr>
          <w:lang w:val="en-US"/>
        </w:rPr>
        <w:t xml:space="preserve"> with G1.</w:t>
      </w:r>
    </w:p>
    <w:p w14:paraId="7E464D2D" w14:textId="77777777" w:rsidR="00835D06" w:rsidRDefault="00835D06">
      <w:pPr>
        <w:spacing w:after="200" w:line="276" w:lineRule="auto"/>
        <w:rPr>
          <w:lang w:val="en-US"/>
        </w:rPr>
      </w:pPr>
      <w:r>
        <w:rPr>
          <w:lang w:val="en-US"/>
        </w:rPr>
        <w:br w:type="page"/>
      </w:r>
    </w:p>
    <w:p w14:paraId="463DDCE7" w14:textId="77777777" w:rsidR="00F05FD1" w:rsidRPr="00835D06" w:rsidRDefault="00F05FD1" w:rsidP="00835D06">
      <w:pPr>
        <w:spacing w:after="120"/>
        <w:jc w:val="both"/>
        <w:rPr>
          <w:lang w:val="en-US"/>
        </w:rPr>
      </w:pPr>
    </w:p>
    <w:p w14:paraId="0793EE26" w14:textId="18AEB393" w:rsidR="00F05FD1" w:rsidRPr="00835D06" w:rsidRDefault="00F05FD1" w:rsidP="00835D06">
      <w:pPr>
        <w:pStyle w:val="Caption"/>
        <w:keepNext/>
        <w:spacing w:before="120" w:after="0"/>
        <w:jc w:val="center"/>
        <w:rPr>
          <w:color w:val="auto"/>
          <w:sz w:val="20"/>
          <w:szCs w:val="20"/>
          <w:lang w:val="en-US"/>
        </w:rPr>
      </w:pPr>
      <w:bookmarkStart w:id="0" w:name="_Ref526261827"/>
      <w:r w:rsidRPr="00835D06">
        <w:rPr>
          <w:color w:val="auto"/>
          <w:sz w:val="20"/>
          <w:szCs w:val="20"/>
          <w:lang w:val="en-US"/>
        </w:rPr>
        <w:t xml:space="preserve">Table </w:t>
      </w:r>
      <w:r w:rsidRPr="00835D06">
        <w:rPr>
          <w:color w:val="auto"/>
          <w:sz w:val="20"/>
          <w:szCs w:val="20"/>
          <w:lang w:val="en-US"/>
        </w:rPr>
        <w:fldChar w:fldCharType="begin"/>
      </w:r>
      <w:r w:rsidRPr="00835D06">
        <w:rPr>
          <w:color w:val="auto"/>
          <w:sz w:val="20"/>
          <w:szCs w:val="20"/>
          <w:lang w:val="en-US"/>
        </w:rPr>
        <w:instrText xml:space="preserve"> SEQ Table \* ARABIC </w:instrText>
      </w:r>
      <w:r w:rsidRPr="00835D06">
        <w:rPr>
          <w:color w:val="auto"/>
          <w:sz w:val="20"/>
          <w:szCs w:val="20"/>
          <w:lang w:val="en-US"/>
        </w:rPr>
        <w:fldChar w:fldCharType="separate"/>
      </w:r>
      <w:r w:rsidR="00711907" w:rsidRPr="00835D06">
        <w:rPr>
          <w:noProof/>
          <w:color w:val="auto"/>
          <w:sz w:val="20"/>
          <w:szCs w:val="20"/>
          <w:lang w:val="en-US"/>
        </w:rPr>
        <w:t>1</w:t>
      </w:r>
      <w:r w:rsidRPr="00835D06">
        <w:rPr>
          <w:color w:val="auto"/>
          <w:sz w:val="20"/>
          <w:szCs w:val="20"/>
          <w:lang w:val="en-US"/>
        </w:rPr>
        <w:fldChar w:fldCharType="end"/>
      </w:r>
      <w:bookmarkEnd w:id="0"/>
      <w:r w:rsidRPr="00835D06">
        <w:rPr>
          <w:color w:val="auto"/>
          <w:sz w:val="20"/>
          <w:szCs w:val="20"/>
          <w:lang w:val="en-US"/>
        </w:rPr>
        <w:t>: Treatment groups and definitions</w:t>
      </w:r>
    </w:p>
    <w:tbl>
      <w:tblPr>
        <w:tblStyle w:val="TableGrid"/>
        <w:tblW w:w="6308" w:type="dxa"/>
        <w:jc w:val="center"/>
        <w:tblLook w:val="04A0" w:firstRow="1" w:lastRow="0" w:firstColumn="1" w:lastColumn="0" w:noHBand="0" w:noVBand="1"/>
      </w:tblPr>
      <w:tblGrid>
        <w:gridCol w:w="716"/>
        <w:gridCol w:w="5592"/>
      </w:tblGrid>
      <w:tr w:rsidR="00F05FD1" w:rsidRPr="00835D06" w14:paraId="338D80F2" w14:textId="77777777" w:rsidTr="00F05FD1">
        <w:trPr>
          <w:trHeight w:val="261"/>
          <w:jc w:val="center"/>
        </w:trPr>
        <w:tc>
          <w:tcPr>
            <w:tcW w:w="666" w:type="dxa"/>
            <w:tcBorders>
              <w:bottom w:val="single" w:sz="4" w:space="0" w:color="auto"/>
            </w:tcBorders>
            <w:vAlign w:val="center"/>
          </w:tcPr>
          <w:p w14:paraId="5123E89E" w14:textId="77777777" w:rsidR="00F05FD1" w:rsidRPr="00835D06" w:rsidRDefault="00F05FD1" w:rsidP="00835D06">
            <w:pPr>
              <w:suppressAutoHyphens/>
              <w:jc w:val="center"/>
              <w:rPr>
                <w:b/>
                <w:lang w:val="en-US"/>
              </w:rPr>
            </w:pPr>
            <w:r w:rsidRPr="00835D06">
              <w:rPr>
                <w:b/>
                <w:lang w:val="en-US"/>
              </w:rPr>
              <w:t>Name</w:t>
            </w:r>
          </w:p>
        </w:tc>
        <w:tc>
          <w:tcPr>
            <w:tcW w:w="5642" w:type="dxa"/>
            <w:tcBorders>
              <w:bottom w:val="single" w:sz="4" w:space="0" w:color="auto"/>
            </w:tcBorders>
            <w:vAlign w:val="center"/>
          </w:tcPr>
          <w:p w14:paraId="699FD3CE" w14:textId="77777777" w:rsidR="00F05FD1" w:rsidRPr="00835D06" w:rsidRDefault="00F05FD1" w:rsidP="00835D06">
            <w:pPr>
              <w:suppressAutoHyphens/>
              <w:jc w:val="center"/>
              <w:rPr>
                <w:b/>
                <w:lang w:val="en-US"/>
              </w:rPr>
            </w:pPr>
            <w:r w:rsidRPr="00835D06">
              <w:rPr>
                <w:b/>
                <w:lang w:val="en-US"/>
              </w:rPr>
              <w:t>Definition</w:t>
            </w:r>
          </w:p>
        </w:tc>
      </w:tr>
      <w:tr w:rsidR="00F05FD1" w:rsidRPr="00835D06" w14:paraId="7AA15C01" w14:textId="77777777" w:rsidTr="00F05FD1">
        <w:trPr>
          <w:trHeight w:val="261"/>
          <w:jc w:val="center"/>
        </w:trPr>
        <w:tc>
          <w:tcPr>
            <w:tcW w:w="666" w:type="dxa"/>
            <w:tcBorders>
              <w:top w:val="single" w:sz="4" w:space="0" w:color="auto"/>
              <w:left w:val="single" w:sz="4" w:space="0" w:color="auto"/>
              <w:bottom w:val="nil"/>
              <w:right w:val="single" w:sz="4" w:space="0" w:color="auto"/>
            </w:tcBorders>
          </w:tcPr>
          <w:p w14:paraId="56988819" w14:textId="77777777" w:rsidR="00F05FD1" w:rsidRPr="00835D06" w:rsidRDefault="00F05FD1" w:rsidP="00835D06">
            <w:pPr>
              <w:suppressAutoHyphens/>
              <w:jc w:val="center"/>
              <w:rPr>
                <w:lang w:val="en-US"/>
              </w:rPr>
            </w:pPr>
            <w:r w:rsidRPr="00835D06">
              <w:rPr>
                <w:lang w:val="en-US"/>
              </w:rPr>
              <w:t>F</w:t>
            </w:r>
          </w:p>
        </w:tc>
        <w:tc>
          <w:tcPr>
            <w:tcW w:w="5642" w:type="dxa"/>
            <w:tcBorders>
              <w:top w:val="single" w:sz="4" w:space="0" w:color="auto"/>
              <w:left w:val="single" w:sz="4" w:space="0" w:color="auto"/>
              <w:bottom w:val="nil"/>
              <w:right w:val="single" w:sz="4" w:space="0" w:color="auto"/>
            </w:tcBorders>
          </w:tcPr>
          <w:p w14:paraId="34AA0C29" w14:textId="77777777" w:rsidR="00F05FD1" w:rsidRPr="00835D06" w:rsidRDefault="00F05FD1" w:rsidP="00835D06">
            <w:pPr>
              <w:suppressAutoHyphens/>
              <w:rPr>
                <w:lang w:val="en-US"/>
              </w:rPr>
            </w:pPr>
            <w:r w:rsidRPr="00835D06">
              <w:rPr>
                <w:lang w:val="en-US"/>
              </w:rPr>
              <w:t>No roadmap</w:t>
            </w:r>
          </w:p>
        </w:tc>
      </w:tr>
      <w:tr w:rsidR="00F05FD1" w:rsidRPr="00835D06" w14:paraId="1B3F1498" w14:textId="77777777" w:rsidTr="00F05FD1">
        <w:trPr>
          <w:trHeight w:val="261"/>
          <w:jc w:val="center"/>
        </w:trPr>
        <w:tc>
          <w:tcPr>
            <w:tcW w:w="666" w:type="dxa"/>
            <w:tcBorders>
              <w:top w:val="nil"/>
              <w:left w:val="single" w:sz="4" w:space="0" w:color="auto"/>
              <w:bottom w:val="nil"/>
              <w:right w:val="single" w:sz="4" w:space="0" w:color="auto"/>
            </w:tcBorders>
          </w:tcPr>
          <w:p w14:paraId="1B538DC6" w14:textId="77777777" w:rsidR="00F05FD1" w:rsidRPr="00835D06" w:rsidRDefault="00F05FD1" w:rsidP="00835D06">
            <w:pPr>
              <w:suppressAutoHyphens/>
              <w:jc w:val="center"/>
              <w:rPr>
                <w:lang w:val="en-US"/>
              </w:rPr>
            </w:pPr>
            <w:r w:rsidRPr="00835D06">
              <w:rPr>
                <w:lang w:val="en-US"/>
              </w:rPr>
              <w:t>G1</w:t>
            </w:r>
          </w:p>
        </w:tc>
        <w:tc>
          <w:tcPr>
            <w:tcW w:w="5642" w:type="dxa"/>
            <w:tcBorders>
              <w:top w:val="nil"/>
              <w:left w:val="single" w:sz="4" w:space="0" w:color="auto"/>
              <w:bottom w:val="nil"/>
              <w:right w:val="single" w:sz="4" w:space="0" w:color="auto"/>
            </w:tcBorders>
          </w:tcPr>
          <w:p w14:paraId="6F729EB2" w14:textId="77777777" w:rsidR="00F05FD1" w:rsidRPr="00835D06" w:rsidRDefault="00F05FD1" w:rsidP="00835D06">
            <w:pPr>
              <w:suppressAutoHyphens/>
              <w:rPr>
                <w:lang w:val="en-US"/>
              </w:rPr>
            </w:pPr>
            <w:r w:rsidRPr="00835D06">
              <w:rPr>
                <w:lang w:val="en-US"/>
              </w:rPr>
              <w:t>Annual roadmap for green share of generation</w:t>
            </w:r>
          </w:p>
        </w:tc>
      </w:tr>
      <w:tr w:rsidR="00F05FD1" w:rsidRPr="00835D06" w14:paraId="42881262" w14:textId="77777777" w:rsidTr="00F05FD1">
        <w:trPr>
          <w:trHeight w:val="278"/>
          <w:jc w:val="center"/>
        </w:trPr>
        <w:tc>
          <w:tcPr>
            <w:tcW w:w="666" w:type="dxa"/>
            <w:tcBorders>
              <w:top w:val="nil"/>
              <w:left w:val="single" w:sz="4" w:space="0" w:color="auto"/>
              <w:bottom w:val="nil"/>
              <w:right w:val="single" w:sz="4" w:space="0" w:color="auto"/>
            </w:tcBorders>
          </w:tcPr>
          <w:p w14:paraId="5E05BD7E" w14:textId="77777777" w:rsidR="00F05FD1" w:rsidRPr="00835D06" w:rsidRDefault="00F05FD1" w:rsidP="00835D06">
            <w:pPr>
              <w:suppressAutoHyphens/>
              <w:jc w:val="center"/>
              <w:rPr>
                <w:lang w:val="en-US"/>
              </w:rPr>
            </w:pPr>
            <w:r w:rsidRPr="00835D06">
              <w:rPr>
                <w:lang w:val="en-US"/>
              </w:rPr>
              <w:t>G5</w:t>
            </w:r>
          </w:p>
        </w:tc>
        <w:tc>
          <w:tcPr>
            <w:tcW w:w="5642" w:type="dxa"/>
            <w:tcBorders>
              <w:top w:val="nil"/>
              <w:left w:val="single" w:sz="4" w:space="0" w:color="auto"/>
              <w:bottom w:val="nil"/>
              <w:right w:val="single" w:sz="4" w:space="0" w:color="auto"/>
            </w:tcBorders>
          </w:tcPr>
          <w:p w14:paraId="1D438668" w14:textId="77777777" w:rsidR="00F05FD1" w:rsidRPr="00835D06" w:rsidRDefault="00F05FD1" w:rsidP="00835D06">
            <w:pPr>
              <w:suppressAutoHyphens/>
              <w:rPr>
                <w:lang w:val="en-US"/>
              </w:rPr>
            </w:pPr>
            <w:r w:rsidRPr="00835D06">
              <w:rPr>
                <w:lang w:val="en-US"/>
              </w:rPr>
              <w:t>Five-yearly roadmap for green share of generation</w:t>
            </w:r>
          </w:p>
        </w:tc>
      </w:tr>
      <w:tr w:rsidR="00F05FD1" w:rsidRPr="00835D06" w14:paraId="6950095D" w14:textId="77777777" w:rsidTr="00F05FD1">
        <w:trPr>
          <w:trHeight w:val="261"/>
          <w:jc w:val="center"/>
        </w:trPr>
        <w:tc>
          <w:tcPr>
            <w:tcW w:w="666" w:type="dxa"/>
            <w:tcBorders>
              <w:top w:val="nil"/>
              <w:left w:val="single" w:sz="4" w:space="0" w:color="auto"/>
              <w:bottom w:val="nil"/>
              <w:right w:val="single" w:sz="4" w:space="0" w:color="auto"/>
            </w:tcBorders>
          </w:tcPr>
          <w:p w14:paraId="793601D4" w14:textId="77777777" w:rsidR="00F05FD1" w:rsidRPr="00835D06" w:rsidRDefault="00F05FD1" w:rsidP="00835D06">
            <w:pPr>
              <w:suppressAutoHyphens/>
              <w:jc w:val="center"/>
              <w:rPr>
                <w:lang w:val="en-US"/>
              </w:rPr>
            </w:pPr>
            <w:r w:rsidRPr="00835D06">
              <w:rPr>
                <w:lang w:val="en-US"/>
              </w:rPr>
              <w:t>P1</w:t>
            </w:r>
          </w:p>
        </w:tc>
        <w:tc>
          <w:tcPr>
            <w:tcW w:w="5642" w:type="dxa"/>
            <w:tcBorders>
              <w:top w:val="nil"/>
              <w:left w:val="single" w:sz="4" w:space="0" w:color="auto"/>
              <w:bottom w:val="nil"/>
              <w:right w:val="single" w:sz="4" w:space="0" w:color="auto"/>
            </w:tcBorders>
          </w:tcPr>
          <w:p w14:paraId="27F1261E" w14:textId="77777777" w:rsidR="00F05FD1" w:rsidRPr="00835D06" w:rsidRDefault="00F05FD1" w:rsidP="00835D06">
            <w:pPr>
              <w:suppressAutoHyphens/>
              <w:rPr>
                <w:lang w:val="en-US"/>
              </w:rPr>
            </w:pPr>
            <w:r w:rsidRPr="00835D06">
              <w:rPr>
                <w:lang w:val="en-US"/>
              </w:rPr>
              <w:t>Annual roadmap for pollution</w:t>
            </w:r>
          </w:p>
        </w:tc>
      </w:tr>
      <w:tr w:rsidR="00F05FD1" w:rsidRPr="00835D06" w14:paraId="3FEDD5CF" w14:textId="77777777" w:rsidTr="00F05FD1">
        <w:trPr>
          <w:trHeight w:val="261"/>
          <w:jc w:val="center"/>
        </w:trPr>
        <w:tc>
          <w:tcPr>
            <w:tcW w:w="666" w:type="dxa"/>
            <w:tcBorders>
              <w:top w:val="nil"/>
              <w:left w:val="single" w:sz="4" w:space="0" w:color="auto"/>
              <w:bottom w:val="single" w:sz="4" w:space="0" w:color="auto"/>
              <w:right w:val="single" w:sz="4" w:space="0" w:color="auto"/>
            </w:tcBorders>
          </w:tcPr>
          <w:p w14:paraId="3E842507" w14:textId="77777777" w:rsidR="00F05FD1" w:rsidRPr="00835D06" w:rsidRDefault="00F05FD1" w:rsidP="00835D06">
            <w:pPr>
              <w:suppressAutoHyphens/>
              <w:jc w:val="center"/>
              <w:rPr>
                <w:lang w:val="en-US"/>
              </w:rPr>
            </w:pPr>
            <w:r w:rsidRPr="00835D06">
              <w:rPr>
                <w:lang w:val="en-US"/>
              </w:rPr>
              <w:t>G1P1</w:t>
            </w:r>
          </w:p>
        </w:tc>
        <w:tc>
          <w:tcPr>
            <w:tcW w:w="5642" w:type="dxa"/>
            <w:tcBorders>
              <w:top w:val="nil"/>
              <w:left w:val="single" w:sz="4" w:space="0" w:color="auto"/>
              <w:bottom w:val="single" w:sz="4" w:space="0" w:color="auto"/>
              <w:right w:val="single" w:sz="4" w:space="0" w:color="auto"/>
            </w:tcBorders>
          </w:tcPr>
          <w:p w14:paraId="6E8D5B20" w14:textId="77777777" w:rsidR="00F05FD1" w:rsidRPr="00835D06" w:rsidRDefault="00F05FD1" w:rsidP="00835D06">
            <w:pPr>
              <w:suppressAutoHyphens/>
              <w:rPr>
                <w:lang w:val="en-US"/>
              </w:rPr>
            </w:pPr>
            <w:r w:rsidRPr="00835D06">
              <w:rPr>
                <w:lang w:val="en-US"/>
              </w:rPr>
              <w:t>Annual roadmap for green share of generation and pollution</w:t>
            </w:r>
          </w:p>
        </w:tc>
      </w:tr>
    </w:tbl>
    <w:p w14:paraId="4ABB166A" w14:textId="7CE69CC5" w:rsidR="00DC3966" w:rsidRPr="00835D06" w:rsidRDefault="00432785" w:rsidP="00835D06">
      <w:pPr>
        <w:spacing w:before="120"/>
        <w:jc w:val="both"/>
      </w:pPr>
      <w:r w:rsidRPr="00835D06">
        <w:rPr>
          <w:lang w:val="en-US"/>
        </w:rPr>
        <w:t>Table 2 summar</w:t>
      </w:r>
      <w:r w:rsidR="00580FF6" w:rsidRPr="00835D06">
        <w:rPr>
          <w:lang w:val="en-US"/>
        </w:rPr>
        <w:t xml:space="preserve">izes </w:t>
      </w:r>
      <w:r w:rsidR="00205DAA" w:rsidRPr="00835D06">
        <w:rPr>
          <w:lang w:val="en-US"/>
        </w:rPr>
        <w:t xml:space="preserve">the </w:t>
      </w:r>
      <w:r w:rsidR="00580FF6" w:rsidRPr="00835D06">
        <w:rPr>
          <w:lang w:val="en-US"/>
        </w:rPr>
        <w:t xml:space="preserve">relevant treatment comparisons. </w:t>
      </w:r>
      <w:r w:rsidR="00770BB3" w:rsidRPr="00835D06">
        <w:rPr>
          <w:lang w:val="en-US"/>
        </w:rPr>
        <w:t xml:space="preserve">The </w:t>
      </w:r>
      <w:r w:rsidR="00E37238" w:rsidRPr="00835D06">
        <w:rPr>
          <w:lang w:val="en-US"/>
        </w:rPr>
        <w:t>effect of</w:t>
      </w:r>
      <w:r w:rsidR="00770BB3" w:rsidRPr="00835D06">
        <w:rPr>
          <w:lang w:val="en-US"/>
        </w:rPr>
        <w:t xml:space="preserve"> </w:t>
      </w:r>
      <w:r w:rsidR="00580FF6" w:rsidRPr="00835D06">
        <w:rPr>
          <w:lang w:val="en-US"/>
        </w:rPr>
        <w:t xml:space="preserve">the </w:t>
      </w:r>
      <w:r w:rsidR="00770BB3" w:rsidRPr="00835D06">
        <w:rPr>
          <w:lang w:val="en-US"/>
        </w:rPr>
        <w:t xml:space="preserve">presence of a roadmap </w:t>
      </w:r>
      <w:proofErr w:type="gramStart"/>
      <w:r w:rsidR="00770BB3" w:rsidRPr="00835D06">
        <w:rPr>
          <w:lang w:val="en-US"/>
        </w:rPr>
        <w:t>can be tested</w:t>
      </w:r>
      <w:proofErr w:type="gramEnd"/>
      <w:r w:rsidR="00770BB3" w:rsidRPr="00835D06">
        <w:rPr>
          <w:lang w:val="en-US"/>
        </w:rPr>
        <w:t xml:space="preserve"> by comparing F with</w:t>
      </w:r>
      <w:r w:rsidR="00580FF6" w:rsidRPr="00835D06">
        <w:rPr>
          <w:lang w:val="en-US"/>
        </w:rPr>
        <w:t xml:space="preserve"> either</w:t>
      </w:r>
      <w:r w:rsidR="00770BB3" w:rsidRPr="00835D06">
        <w:rPr>
          <w:lang w:val="en-US"/>
        </w:rPr>
        <w:t xml:space="preserve"> G1 </w:t>
      </w:r>
      <w:r w:rsidR="00580FF6" w:rsidRPr="00835D06">
        <w:rPr>
          <w:lang w:val="en-US"/>
        </w:rPr>
        <w:t>or</w:t>
      </w:r>
      <w:r w:rsidR="00770BB3" w:rsidRPr="00835D06">
        <w:rPr>
          <w:lang w:val="en-US"/>
        </w:rPr>
        <w:t xml:space="preserve"> G5. The comparison of G1 and G5 tests the effect of the number of milestones. The framing </w:t>
      </w:r>
      <w:proofErr w:type="gramStart"/>
      <w:r w:rsidR="00770BB3" w:rsidRPr="00835D06">
        <w:rPr>
          <w:lang w:val="en-US"/>
        </w:rPr>
        <w:t>can be tested</w:t>
      </w:r>
      <w:proofErr w:type="gramEnd"/>
      <w:r w:rsidR="00770BB3" w:rsidRPr="00835D06">
        <w:rPr>
          <w:lang w:val="en-US"/>
        </w:rPr>
        <w:t xml:space="preserve"> by comparing G1 and P1. G1P1 is the combination of treatments G1 and P1, therefore, the effect of two roadmaps </w:t>
      </w:r>
      <w:proofErr w:type="gramStart"/>
      <w:r w:rsidR="00770BB3" w:rsidRPr="00835D06">
        <w:rPr>
          <w:lang w:val="en-US"/>
        </w:rPr>
        <w:t>can be tested</w:t>
      </w:r>
      <w:proofErr w:type="gramEnd"/>
      <w:r w:rsidR="00770BB3" w:rsidRPr="00835D06">
        <w:rPr>
          <w:lang w:val="en-US"/>
        </w:rPr>
        <w:t xml:space="preserve"> by comparing G1P1 to </w:t>
      </w:r>
      <w:r w:rsidR="00580FF6" w:rsidRPr="00835D06">
        <w:rPr>
          <w:lang w:val="en-US"/>
        </w:rPr>
        <w:t xml:space="preserve">either </w:t>
      </w:r>
      <w:r w:rsidR="00770BB3" w:rsidRPr="00835D06">
        <w:rPr>
          <w:lang w:val="en-US"/>
        </w:rPr>
        <w:t xml:space="preserve">G1 </w:t>
      </w:r>
      <w:r w:rsidR="00580FF6" w:rsidRPr="00835D06">
        <w:rPr>
          <w:lang w:val="en-US"/>
        </w:rPr>
        <w:t>or</w:t>
      </w:r>
      <w:r w:rsidR="00770BB3" w:rsidRPr="00835D06">
        <w:rPr>
          <w:lang w:val="en-US"/>
        </w:rPr>
        <w:t xml:space="preserve"> P1.</w:t>
      </w:r>
    </w:p>
    <w:p w14:paraId="56E6C63A" w14:textId="04AC17BA" w:rsidR="009B4FB7" w:rsidRPr="00835D06" w:rsidRDefault="009B4FB7" w:rsidP="00835D06">
      <w:pPr>
        <w:pStyle w:val="Caption"/>
        <w:keepNext/>
        <w:spacing w:before="120" w:after="0"/>
        <w:jc w:val="center"/>
        <w:rPr>
          <w:color w:val="auto"/>
          <w:sz w:val="20"/>
          <w:szCs w:val="20"/>
          <w:lang w:val="en-US"/>
        </w:rPr>
      </w:pPr>
      <w:bookmarkStart w:id="1" w:name="_Ref526238274"/>
      <w:r w:rsidRPr="00835D06">
        <w:rPr>
          <w:color w:val="auto"/>
          <w:sz w:val="20"/>
          <w:szCs w:val="20"/>
          <w:lang w:val="en-US"/>
        </w:rPr>
        <w:t>Table 2</w:t>
      </w:r>
      <w:bookmarkEnd w:id="1"/>
      <w:r w:rsidRPr="00835D06">
        <w:rPr>
          <w:color w:val="auto"/>
          <w:sz w:val="20"/>
          <w:szCs w:val="20"/>
          <w:lang w:val="en-US"/>
        </w:rPr>
        <w:t>: Treatment comparisons</w:t>
      </w:r>
    </w:p>
    <w:tbl>
      <w:tblPr>
        <w:tblStyle w:val="TableGrid"/>
        <w:tblW w:w="7315" w:type="dxa"/>
        <w:jc w:val="center"/>
        <w:tblLook w:val="04A0" w:firstRow="1" w:lastRow="0" w:firstColumn="1" w:lastColumn="0" w:noHBand="0" w:noVBand="1"/>
      </w:tblPr>
      <w:tblGrid>
        <w:gridCol w:w="855"/>
        <w:gridCol w:w="1267"/>
        <w:gridCol w:w="1271"/>
        <w:gridCol w:w="1286"/>
        <w:gridCol w:w="1350"/>
        <w:gridCol w:w="1286"/>
      </w:tblGrid>
      <w:tr w:rsidR="009B4FB7" w:rsidRPr="00835D06" w14:paraId="4D514437" w14:textId="77777777" w:rsidTr="009B4FB7">
        <w:trPr>
          <w:trHeight w:val="227"/>
          <w:jc w:val="center"/>
        </w:trPr>
        <w:tc>
          <w:tcPr>
            <w:tcW w:w="855" w:type="dxa"/>
          </w:tcPr>
          <w:p w14:paraId="6E4F8798" w14:textId="77777777" w:rsidR="009B4FB7" w:rsidRPr="00835D06" w:rsidRDefault="009B4FB7" w:rsidP="00835D06">
            <w:pPr>
              <w:rPr>
                <w:lang w:val="en-US"/>
              </w:rPr>
            </w:pPr>
          </w:p>
        </w:tc>
        <w:tc>
          <w:tcPr>
            <w:tcW w:w="1267" w:type="dxa"/>
            <w:vAlign w:val="center"/>
          </w:tcPr>
          <w:p w14:paraId="7C11BAF7" w14:textId="77777777" w:rsidR="009B4FB7" w:rsidRPr="00835D06" w:rsidRDefault="009B4FB7" w:rsidP="00835D06">
            <w:pPr>
              <w:spacing w:before="40"/>
              <w:jc w:val="center"/>
              <w:rPr>
                <w:lang w:val="en-US"/>
              </w:rPr>
            </w:pPr>
            <w:r w:rsidRPr="00835D06">
              <w:rPr>
                <w:lang w:val="en-US"/>
              </w:rPr>
              <w:t>F</w:t>
            </w:r>
          </w:p>
        </w:tc>
        <w:tc>
          <w:tcPr>
            <w:tcW w:w="1271" w:type="dxa"/>
            <w:vAlign w:val="center"/>
          </w:tcPr>
          <w:p w14:paraId="4F3E9389" w14:textId="77777777" w:rsidR="009B4FB7" w:rsidRPr="00835D06" w:rsidRDefault="009B4FB7" w:rsidP="00835D06">
            <w:pPr>
              <w:spacing w:before="40"/>
              <w:jc w:val="center"/>
              <w:rPr>
                <w:lang w:val="en-US"/>
              </w:rPr>
            </w:pPr>
            <w:r w:rsidRPr="00835D06">
              <w:rPr>
                <w:lang w:val="en-US"/>
              </w:rPr>
              <w:t>G1</w:t>
            </w:r>
          </w:p>
        </w:tc>
        <w:tc>
          <w:tcPr>
            <w:tcW w:w="1286" w:type="dxa"/>
            <w:vAlign w:val="center"/>
          </w:tcPr>
          <w:p w14:paraId="2EAEC7B6" w14:textId="77777777" w:rsidR="009B4FB7" w:rsidRPr="00835D06" w:rsidRDefault="009B4FB7" w:rsidP="00835D06">
            <w:pPr>
              <w:spacing w:before="40"/>
              <w:jc w:val="center"/>
              <w:rPr>
                <w:lang w:val="en-US"/>
              </w:rPr>
            </w:pPr>
            <w:r w:rsidRPr="00835D06">
              <w:rPr>
                <w:lang w:val="en-US"/>
              </w:rPr>
              <w:t>G5</w:t>
            </w:r>
          </w:p>
        </w:tc>
        <w:tc>
          <w:tcPr>
            <w:tcW w:w="1350" w:type="dxa"/>
            <w:vAlign w:val="center"/>
          </w:tcPr>
          <w:p w14:paraId="02305BE6" w14:textId="77777777" w:rsidR="009B4FB7" w:rsidRPr="00835D06" w:rsidRDefault="009B4FB7" w:rsidP="00835D06">
            <w:pPr>
              <w:spacing w:before="40"/>
              <w:jc w:val="center"/>
              <w:rPr>
                <w:lang w:val="en-US"/>
              </w:rPr>
            </w:pPr>
            <w:r w:rsidRPr="00835D06">
              <w:rPr>
                <w:lang w:val="en-US"/>
              </w:rPr>
              <w:t>P1</w:t>
            </w:r>
          </w:p>
        </w:tc>
        <w:tc>
          <w:tcPr>
            <w:tcW w:w="1286" w:type="dxa"/>
            <w:vAlign w:val="center"/>
          </w:tcPr>
          <w:p w14:paraId="144244AC" w14:textId="77777777" w:rsidR="009B4FB7" w:rsidRPr="00835D06" w:rsidRDefault="009B4FB7" w:rsidP="00835D06">
            <w:pPr>
              <w:spacing w:before="40"/>
              <w:jc w:val="center"/>
              <w:rPr>
                <w:lang w:val="en-US"/>
              </w:rPr>
            </w:pPr>
            <w:r w:rsidRPr="00835D06">
              <w:rPr>
                <w:lang w:val="en-US"/>
              </w:rPr>
              <w:t>G1P1</w:t>
            </w:r>
          </w:p>
        </w:tc>
      </w:tr>
      <w:tr w:rsidR="009B4FB7" w:rsidRPr="00835D06" w14:paraId="349B8F6C" w14:textId="77777777" w:rsidTr="009B4FB7">
        <w:trPr>
          <w:trHeight w:val="227"/>
          <w:jc w:val="center"/>
        </w:trPr>
        <w:tc>
          <w:tcPr>
            <w:tcW w:w="855" w:type="dxa"/>
            <w:vAlign w:val="center"/>
          </w:tcPr>
          <w:p w14:paraId="41B2D8A2" w14:textId="77777777" w:rsidR="009B4FB7" w:rsidRPr="00835D06" w:rsidRDefault="009B4FB7" w:rsidP="00835D06">
            <w:pPr>
              <w:jc w:val="center"/>
              <w:rPr>
                <w:lang w:val="en-US"/>
              </w:rPr>
            </w:pPr>
            <w:r w:rsidRPr="00835D06">
              <w:rPr>
                <w:lang w:val="en-US"/>
              </w:rPr>
              <w:t>F</w:t>
            </w:r>
          </w:p>
        </w:tc>
        <w:tc>
          <w:tcPr>
            <w:tcW w:w="1267" w:type="dxa"/>
            <w:shd w:val="clear" w:color="auto" w:fill="A6A6A6" w:themeFill="background1" w:themeFillShade="A6"/>
          </w:tcPr>
          <w:p w14:paraId="052D92DA" w14:textId="77777777" w:rsidR="009B4FB7" w:rsidRPr="00835D06" w:rsidRDefault="009B4FB7" w:rsidP="00835D06">
            <w:pPr>
              <w:rPr>
                <w:lang w:val="en-US"/>
              </w:rPr>
            </w:pPr>
          </w:p>
        </w:tc>
        <w:tc>
          <w:tcPr>
            <w:tcW w:w="2557" w:type="dxa"/>
            <w:gridSpan w:val="2"/>
            <w:vAlign w:val="bottom"/>
          </w:tcPr>
          <w:p w14:paraId="40675A0F" w14:textId="77777777" w:rsidR="009B4FB7" w:rsidRPr="00835D06" w:rsidRDefault="009B4FB7" w:rsidP="00835D06">
            <w:pPr>
              <w:spacing w:before="40"/>
              <w:jc w:val="center"/>
              <w:rPr>
                <w:lang w:val="en-US"/>
              </w:rPr>
            </w:pPr>
            <w:r w:rsidRPr="00835D06">
              <w:rPr>
                <w:lang w:val="en-US"/>
              </w:rPr>
              <w:t>Presence of a roadmap</w:t>
            </w:r>
          </w:p>
        </w:tc>
        <w:tc>
          <w:tcPr>
            <w:tcW w:w="1350" w:type="dxa"/>
            <w:shd w:val="clear" w:color="auto" w:fill="A6A6A6" w:themeFill="background1" w:themeFillShade="A6"/>
            <w:vAlign w:val="bottom"/>
          </w:tcPr>
          <w:p w14:paraId="57F6D960" w14:textId="77777777" w:rsidR="009B4FB7" w:rsidRPr="00835D06" w:rsidRDefault="009B4FB7" w:rsidP="00835D06">
            <w:pPr>
              <w:jc w:val="center"/>
              <w:rPr>
                <w:lang w:val="en-US"/>
              </w:rPr>
            </w:pPr>
          </w:p>
        </w:tc>
        <w:tc>
          <w:tcPr>
            <w:tcW w:w="1286" w:type="dxa"/>
            <w:shd w:val="clear" w:color="auto" w:fill="A6A6A6" w:themeFill="background1" w:themeFillShade="A6"/>
            <w:vAlign w:val="center"/>
          </w:tcPr>
          <w:p w14:paraId="33FE0F3E" w14:textId="77777777" w:rsidR="009B4FB7" w:rsidRPr="00835D06" w:rsidRDefault="009B4FB7" w:rsidP="00835D06">
            <w:pPr>
              <w:jc w:val="center"/>
              <w:rPr>
                <w:lang w:val="en-US"/>
              </w:rPr>
            </w:pPr>
          </w:p>
        </w:tc>
      </w:tr>
      <w:tr w:rsidR="009B4FB7" w:rsidRPr="00835D06" w14:paraId="2D6BB130" w14:textId="77777777" w:rsidTr="009B4FB7">
        <w:trPr>
          <w:trHeight w:val="283"/>
          <w:jc w:val="center"/>
        </w:trPr>
        <w:tc>
          <w:tcPr>
            <w:tcW w:w="855" w:type="dxa"/>
            <w:vAlign w:val="center"/>
          </w:tcPr>
          <w:p w14:paraId="4ED9EA2A" w14:textId="77777777" w:rsidR="009B4FB7" w:rsidRPr="00835D06" w:rsidRDefault="009B4FB7" w:rsidP="00835D06">
            <w:pPr>
              <w:jc w:val="center"/>
              <w:rPr>
                <w:lang w:val="en-US"/>
              </w:rPr>
            </w:pPr>
            <w:r w:rsidRPr="00835D06">
              <w:rPr>
                <w:lang w:val="en-US"/>
              </w:rPr>
              <w:t>G1</w:t>
            </w:r>
          </w:p>
        </w:tc>
        <w:tc>
          <w:tcPr>
            <w:tcW w:w="1267" w:type="dxa"/>
            <w:shd w:val="clear" w:color="auto" w:fill="A6A6A6" w:themeFill="background1" w:themeFillShade="A6"/>
          </w:tcPr>
          <w:p w14:paraId="18F9357C" w14:textId="77777777" w:rsidR="009B4FB7" w:rsidRPr="00835D06" w:rsidRDefault="009B4FB7" w:rsidP="00835D06">
            <w:pPr>
              <w:rPr>
                <w:lang w:val="en-US"/>
              </w:rPr>
            </w:pPr>
          </w:p>
        </w:tc>
        <w:tc>
          <w:tcPr>
            <w:tcW w:w="1271" w:type="dxa"/>
            <w:shd w:val="clear" w:color="auto" w:fill="A6A6A6" w:themeFill="background1" w:themeFillShade="A6"/>
          </w:tcPr>
          <w:p w14:paraId="2B85A2ED" w14:textId="77777777" w:rsidR="009B4FB7" w:rsidRPr="00835D06" w:rsidRDefault="009B4FB7" w:rsidP="00835D06">
            <w:pPr>
              <w:rPr>
                <w:lang w:val="en-US"/>
              </w:rPr>
            </w:pPr>
          </w:p>
        </w:tc>
        <w:tc>
          <w:tcPr>
            <w:tcW w:w="1286" w:type="dxa"/>
            <w:vAlign w:val="center"/>
          </w:tcPr>
          <w:p w14:paraId="40C81F83" w14:textId="77777777" w:rsidR="009B4FB7" w:rsidRPr="00835D06" w:rsidRDefault="009B4FB7" w:rsidP="00835D06">
            <w:pPr>
              <w:spacing w:before="40"/>
              <w:jc w:val="center"/>
              <w:rPr>
                <w:lang w:val="en-US"/>
              </w:rPr>
            </w:pPr>
            <w:r w:rsidRPr="00835D06">
              <w:rPr>
                <w:lang w:val="en-US"/>
              </w:rPr>
              <w:t>Number of milestones</w:t>
            </w:r>
          </w:p>
        </w:tc>
        <w:tc>
          <w:tcPr>
            <w:tcW w:w="1350" w:type="dxa"/>
            <w:vAlign w:val="center"/>
          </w:tcPr>
          <w:p w14:paraId="586DAE05" w14:textId="77777777" w:rsidR="009B4FB7" w:rsidRPr="00835D06" w:rsidRDefault="009B4FB7" w:rsidP="00835D06">
            <w:pPr>
              <w:spacing w:before="40"/>
              <w:jc w:val="center"/>
              <w:rPr>
                <w:lang w:val="en-US"/>
              </w:rPr>
            </w:pPr>
            <w:r w:rsidRPr="00835D06">
              <w:rPr>
                <w:lang w:val="en-US"/>
              </w:rPr>
              <w:t>Roadmap formulation</w:t>
            </w:r>
          </w:p>
        </w:tc>
        <w:tc>
          <w:tcPr>
            <w:tcW w:w="1286" w:type="dxa"/>
            <w:vMerge w:val="restart"/>
            <w:vAlign w:val="center"/>
          </w:tcPr>
          <w:p w14:paraId="02B9CFF6" w14:textId="77777777" w:rsidR="009B4FB7" w:rsidRPr="00835D06" w:rsidRDefault="009B4FB7" w:rsidP="00835D06">
            <w:pPr>
              <w:jc w:val="center"/>
              <w:rPr>
                <w:lang w:val="en-US"/>
              </w:rPr>
            </w:pPr>
            <w:r w:rsidRPr="00835D06">
              <w:rPr>
                <w:lang w:val="en-US"/>
              </w:rPr>
              <w:t>Two roadmaps</w:t>
            </w:r>
          </w:p>
        </w:tc>
      </w:tr>
      <w:tr w:rsidR="009B4FB7" w:rsidRPr="00835D06" w14:paraId="2999F08D" w14:textId="77777777" w:rsidTr="009B4FB7">
        <w:trPr>
          <w:trHeight w:val="227"/>
          <w:jc w:val="center"/>
        </w:trPr>
        <w:tc>
          <w:tcPr>
            <w:tcW w:w="855" w:type="dxa"/>
            <w:vAlign w:val="center"/>
          </w:tcPr>
          <w:p w14:paraId="17794759" w14:textId="77777777" w:rsidR="009B4FB7" w:rsidRPr="00835D06" w:rsidRDefault="009B4FB7" w:rsidP="00835D06">
            <w:pPr>
              <w:jc w:val="center"/>
              <w:rPr>
                <w:lang w:val="en-US"/>
              </w:rPr>
            </w:pPr>
            <w:r w:rsidRPr="00835D06">
              <w:rPr>
                <w:lang w:val="en-US"/>
              </w:rPr>
              <w:t>P1</w:t>
            </w:r>
          </w:p>
        </w:tc>
        <w:tc>
          <w:tcPr>
            <w:tcW w:w="1267" w:type="dxa"/>
            <w:shd w:val="clear" w:color="auto" w:fill="A6A6A6" w:themeFill="background1" w:themeFillShade="A6"/>
          </w:tcPr>
          <w:p w14:paraId="22B2E1B3" w14:textId="77777777" w:rsidR="009B4FB7" w:rsidRPr="00835D06" w:rsidRDefault="009B4FB7" w:rsidP="00835D06">
            <w:pPr>
              <w:rPr>
                <w:lang w:val="en-US"/>
              </w:rPr>
            </w:pPr>
          </w:p>
        </w:tc>
        <w:tc>
          <w:tcPr>
            <w:tcW w:w="1271" w:type="dxa"/>
            <w:shd w:val="clear" w:color="auto" w:fill="A6A6A6" w:themeFill="background1" w:themeFillShade="A6"/>
          </w:tcPr>
          <w:p w14:paraId="438944A1" w14:textId="77777777" w:rsidR="009B4FB7" w:rsidRPr="00835D06" w:rsidRDefault="009B4FB7" w:rsidP="00835D06">
            <w:pPr>
              <w:rPr>
                <w:lang w:val="en-US"/>
              </w:rPr>
            </w:pPr>
          </w:p>
        </w:tc>
        <w:tc>
          <w:tcPr>
            <w:tcW w:w="1286" w:type="dxa"/>
            <w:shd w:val="clear" w:color="auto" w:fill="A6A6A6" w:themeFill="background1" w:themeFillShade="A6"/>
            <w:vAlign w:val="center"/>
          </w:tcPr>
          <w:p w14:paraId="041A9B99" w14:textId="77777777" w:rsidR="009B4FB7" w:rsidRPr="00835D06" w:rsidRDefault="009B4FB7" w:rsidP="00835D06">
            <w:pPr>
              <w:jc w:val="center"/>
              <w:rPr>
                <w:lang w:val="en-US"/>
              </w:rPr>
            </w:pPr>
          </w:p>
        </w:tc>
        <w:tc>
          <w:tcPr>
            <w:tcW w:w="1350" w:type="dxa"/>
            <w:shd w:val="clear" w:color="auto" w:fill="A6A6A6" w:themeFill="background1" w:themeFillShade="A6"/>
            <w:vAlign w:val="center"/>
          </w:tcPr>
          <w:p w14:paraId="0BCFFE86" w14:textId="77777777" w:rsidR="009B4FB7" w:rsidRPr="00835D06" w:rsidRDefault="009B4FB7" w:rsidP="00835D06">
            <w:pPr>
              <w:jc w:val="center"/>
              <w:rPr>
                <w:lang w:val="en-US"/>
              </w:rPr>
            </w:pPr>
          </w:p>
        </w:tc>
        <w:tc>
          <w:tcPr>
            <w:tcW w:w="1286" w:type="dxa"/>
            <w:vMerge/>
            <w:vAlign w:val="center"/>
          </w:tcPr>
          <w:p w14:paraId="45640829" w14:textId="77777777" w:rsidR="009B4FB7" w:rsidRPr="00835D06" w:rsidRDefault="009B4FB7" w:rsidP="00835D06">
            <w:pPr>
              <w:jc w:val="center"/>
              <w:rPr>
                <w:lang w:val="en-US"/>
              </w:rPr>
            </w:pPr>
          </w:p>
        </w:tc>
      </w:tr>
    </w:tbl>
    <w:p w14:paraId="02DDF49E" w14:textId="77777777" w:rsidR="00C3529C" w:rsidRPr="0036533E" w:rsidRDefault="00C3529C" w:rsidP="00835D06">
      <w:pPr>
        <w:pStyle w:val="Heading2"/>
        <w:jc w:val="both"/>
        <w:rPr>
          <w:i w:val="0"/>
          <w:sz w:val="24"/>
          <w:szCs w:val="24"/>
        </w:rPr>
      </w:pPr>
      <w:r w:rsidRPr="0036533E">
        <w:rPr>
          <w:i w:val="0"/>
          <w:sz w:val="24"/>
          <w:szCs w:val="24"/>
        </w:rPr>
        <w:t>Results</w:t>
      </w:r>
    </w:p>
    <w:p w14:paraId="59209FED" w14:textId="7F4110CE" w:rsidR="00F2345B" w:rsidRPr="00835D06" w:rsidRDefault="00C3529C" w:rsidP="00835D06">
      <w:pPr>
        <w:pStyle w:val="BodyText2"/>
        <w:spacing w:after="120"/>
      </w:pPr>
      <w:r w:rsidRPr="00835D06">
        <w:t xml:space="preserve">The experiments were conducted with </w:t>
      </w:r>
      <w:proofErr w:type="gramStart"/>
      <w:r w:rsidRPr="00835D06">
        <w:t xml:space="preserve">a total </w:t>
      </w:r>
      <w:r w:rsidR="005F334F" w:rsidRPr="00835D06">
        <w:t xml:space="preserve">of </w:t>
      </w:r>
      <w:r w:rsidR="004E1567" w:rsidRPr="00835D06">
        <w:t>207</w:t>
      </w:r>
      <w:proofErr w:type="gramEnd"/>
      <w:r w:rsidRPr="00835D06">
        <w:t xml:space="preserve"> participants</w:t>
      </w:r>
      <w:r w:rsidR="004E1567" w:rsidRPr="00835D06">
        <w:t xml:space="preserve">. </w:t>
      </w:r>
      <w:r w:rsidR="00F2345B" w:rsidRPr="00835D06">
        <w:t xml:space="preserve">One participant with a software related problem </w:t>
      </w:r>
      <w:proofErr w:type="gramStart"/>
      <w:r w:rsidR="00F2345B" w:rsidRPr="00835D06">
        <w:t>is excluded</w:t>
      </w:r>
      <w:proofErr w:type="gramEnd"/>
      <w:r w:rsidR="00E81468" w:rsidRPr="00835D06">
        <w:t xml:space="preserve"> from the analysis</w:t>
      </w:r>
      <w:r w:rsidR="00F2345B" w:rsidRPr="00835D06">
        <w:t>. First, we test whether the probability of reaching the final target differs across treatments; we do not find any significant difference.</w:t>
      </w:r>
    </w:p>
    <w:p w14:paraId="289BF687" w14:textId="3429F798" w:rsidR="004E1567" w:rsidRPr="00835D06" w:rsidRDefault="00E81468" w:rsidP="00835D06">
      <w:pPr>
        <w:pStyle w:val="BodyText2"/>
        <w:spacing w:after="120"/>
      </w:pPr>
      <w:proofErr w:type="gramStart"/>
      <w:r w:rsidRPr="00835D06">
        <w:t>Next</w:t>
      </w:r>
      <w:proofErr w:type="gramEnd"/>
      <w:r w:rsidR="00F2345B" w:rsidRPr="00835D06">
        <w:t xml:space="preserve"> we eliminate participants</w:t>
      </w:r>
      <w:r w:rsidR="004E1567" w:rsidRPr="00835D06">
        <w:t xml:space="preserve"> </w:t>
      </w:r>
      <w:r w:rsidR="00F2345B" w:rsidRPr="00835D06">
        <w:t>who</w:t>
      </w:r>
      <w:r w:rsidR="004E1567" w:rsidRPr="00835D06">
        <w:t xml:space="preserve"> had a blackout (10 participants) and </w:t>
      </w:r>
      <w:r w:rsidR="00F2345B" w:rsidRPr="00835D06">
        <w:t xml:space="preserve">who </w:t>
      </w:r>
      <w:r w:rsidR="004E1567" w:rsidRPr="00835D06">
        <w:t>failed to achieve the</w:t>
      </w:r>
      <w:r w:rsidR="00F2345B" w:rsidRPr="00835D06">
        <w:t xml:space="preserve"> final target (18 participants)</w:t>
      </w:r>
      <w:r w:rsidR="004E1567" w:rsidRPr="00835D06">
        <w:t xml:space="preserve">. Therefore, we conduct the analyses with </w:t>
      </w:r>
      <w:proofErr w:type="gramStart"/>
      <w:r w:rsidR="004E1567" w:rsidRPr="00835D06">
        <w:t>a total of 178</w:t>
      </w:r>
      <w:proofErr w:type="gramEnd"/>
      <w:r w:rsidR="004E1567" w:rsidRPr="00835D06">
        <w:t xml:space="preserve"> participants, with at least 31 participants in each group.</w:t>
      </w:r>
    </w:p>
    <w:p w14:paraId="3394CA84" w14:textId="19D7EFDB" w:rsidR="00C43C25" w:rsidRPr="00835D06" w:rsidRDefault="00CD3A04" w:rsidP="00835D06">
      <w:pPr>
        <w:spacing w:after="120"/>
        <w:jc w:val="both"/>
        <w:rPr>
          <w:lang w:val="en-US"/>
        </w:rPr>
      </w:pPr>
      <w:r w:rsidRPr="00835D06">
        <w:rPr>
          <w:lang w:val="en-US"/>
        </w:rPr>
        <w:t xml:space="preserve">For each comparison, participants’ green and thermal subsidy decisions are tested. Then, in case of significantly different subsidy decisions, final goal achievement and market performance criteria </w:t>
      </w:r>
      <w:proofErr w:type="gramStart"/>
      <w:r w:rsidRPr="00835D06">
        <w:rPr>
          <w:lang w:val="en-US"/>
        </w:rPr>
        <w:t>are evaluated</w:t>
      </w:r>
      <w:proofErr w:type="gramEnd"/>
      <w:r w:rsidRPr="00835D06">
        <w:rPr>
          <w:lang w:val="en-US"/>
        </w:rPr>
        <w:t xml:space="preserve">. To test the subsidy decisions and market performance criteria, we use a Generalized Additive Model (GAM) which assumes a nonparametric relation between the predictor and output variables </w:t>
      </w:r>
      <w:r w:rsidRPr="00835D06">
        <w:rPr>
          <w:lang w:val="en-US"/>
        </w:rPr>
        <w:fldChar w:fldCharType="begin" w:fldLock="1"/>
      </w:r>
      <w:r w:rsidRPr="00835D06">
        <w:rPr>
          <w:lang w:val="en-US"/>
        </w:rPr>
        <w:instrText>ADDIN CSL_CITATION {"citationItems":[{"id":"ITEM-1","itemData":{"author":[{"dropping-particle":"","family":"Hastie","given":"Trevor","non-dropping-particle":"","parse-names":false,"suffix":""},{"dropping-particle":"","family":"Tibshirani","given":"Robert","non-dropping-particle":"","parse-names":false,"suffix":""}],"container-title":"Statistical Science","id":"ITEM-1","issue":"3","issued":{"date-parts":[["1986"]]},"page":"297-218","title":"Generalized Additive Models","type":"article-journal","volume":"1"},"uris":["http://www.mendeley.com/documents/?uuid=1e053879-8711-48e7-87bc-ea2e73c12492"]}],"mendeley":{"formattedCitation":"(Hastie &amp; Tibshirani, 1986)","plainTextFormattedCitation":"(Hastie &amp; Tibshirani, 1986)","previouslyFormattedCitation":"(Hastie &amp; Tibshirani, 1986)"},"properties":{"noteIndex":0},"schema":"https://github.com/citation-style-language/schema/raw/master/csl-citation.json"}</w:instrText>
      </w:r>
      <w:r w:rsidRPr="00835D06">
        <w:rPr>
          <w:lang w:val="en-US"/>
        </w:rPr>
        <w:fldChar w:fldCharType="separate"/>
      </w:r>
      <w:r w:rsidRPr="00835D06">
        <w:rPr>
          <w:noProof/>
          <w:lang w:val="en-US"/>
        </w:rPr>
        <w:t>(Hastie &amp; Tibshirani, 1986)</w:t>
      </w:r>
      <w:r w:rsidRPr="00835D06">
        <w:rPr>
          <w:lang w:val="en-US"/>
        </w:rPr>
        <w:fldChar w:fldCharType="end"/>
      </w:r>
      <w:r w:rsidRPr="00835D06">
        <w:rPr>
          <w:lang w:val="en-US"/>
        </w:rPr>
        <w:t xml:space="preserve">. This choice is </w:t>
      </w:r>
      <w:r w:rsidR="00580FF6" w:rsidRPr="00835D06">
        <w:rPr>
          <w:lang w:val="en-US"/>
        </w:rPr>
        <w:t>appropriate</w:t>
      </w:r>
      <w:r w:rsidRPr="00835D06">
        <w:rPr>
          <w:lang w:val="en-US"/>
        </w:rPr>
        <w:t xml:space="preserve"> since we focus on the paths over the course of 40 years.</w:t>
      </w:r>
    </w:p>
    <w:p w14:paraId="50CF0537" w14:textId="77777777" w:rsidR="00C43C25" w:rsidRPr="00835D06" w:rsidRDefault="00CD3A04" w:rsidP="00835D06">
      <w:pPr>
        <w:spacing w:after="120"/>
        <w:jc w:val="both"/>
        <w:rPr>
          <w:lang w:val="en-US"/>
        </w:rPr>
      </w:pPr>
      <w:r w:rsidRPr="00835D06">
        <w:rPr>
          <w:lang w:val="en-US"/>
        </w:rPr>
        <w:t xml:space="preserve">We find that all of our manipulations have a significant effect on green subsidy decisions. Thermal subsidy decisions are only influenced by the presence (presenting a roadmap or not) and the </w:t>
      </w:r>
      <w:r w:rsidR="00694E36" w:rsidRPr="00835D06">
        <w:rPr>
          <w:lang w:val="en-US"/>
        </w:rPr>
        <w:t>complexity</w:t>
      </w:r>
      <w:r w:rsidRPr="00835D06">
        <w:rPr>
          <w:lang w:val="en-US"/>
        </w:rPr>
        <w:t xml:space="preserve"> (two mathematically identical roadmaps vs. one roadma</w:t>
      </w:r>
      <w:r w:rsidR="00C43C25" w:rsidRPr="00835D06">
        <w:rPr>
          <w:lang w:val="en-US"/>
        </w:rPr>
        <w:t>p) of roadmaps.</w:t>
      </w:r>
    </w:p>
    <w:p w14:paraId="7CE85E9A" w14:textId="2E74D519" w:rsidR="008960E3" w:rsidRPr="00835D06" w:rsidRDefault="006053F6" w:rsidP="00835D06">
      <w:pPr>
        <w:spacing w:after="120"/>
        <w:jc w:val="both"/>
      </w:pPr>
      <w:r w:rsidRPr="00835D06">
        <w:rPr>
          <w:lang w:val="en-US"/>
        </w:rPr>
        <w:t xml:space="preserve">Finally, we examine whether the differences in subsidy decisions translate into differences in </w:t>
      </w:r>
      <w:r w:rsidR="00580FF6" w:rsidRPr="00835D06">
        <w:rPr>
          <w:lang w:val="en-US"/>
        </w:rPr>
        <w:t xml:space="preserve">market performance criteria, </w:t>
      </w:r>
      <w:r w:rsidRPr="00835D06">
        <w:rPr>
          <w:lang w:val="en-US"/>
        </w:rPr>
        <w:t xml:space="preserve">pollution, blackout risk and price, which capture respectively sustainability, reliability and affordability. We find that the paths of market performance criteria </w:t>
      </w:r>
      <w:proofErr w:type="gramStart"/>
      <w:r w:rsidRPr="00835D06">
        <w:rPr>
          <w:lang w:val="en-US"/>
        </w:rPr>
        <w:t>are not influenced</w:t>
      </w:r>
      <w:proofErr w:type="gramEnd"/>
      <w:r w:rsidRPr="00835D06">
        <w:rPr>
          <w:lang w:val="en-US"/>
        </w:rPr>
        <w:t xml:space="preserve"> by</w:t>
      </w:r>
      <w:r w:rsidR="00580FF6" w:rsidRPr="00835D06">
        <w:rPr>
          <w:lang w:val="en-US"/>
        </w:rPr>
        <w:t xml:space="preserve"> the</w:t>
      </w:r>
      <w:r w:rsidRPr="00835D06">
        <w:rPr>
          <w:lang w:val="en-US"/>
        </w:rPr>
        <w:t xml:space="preserve"> presence of a roadmap </w:t>
      </w:r>
      <w:r w:rsidR="00580FF6" w:rsidRPr="00835D06">
        <w:rPr>
          <w:lang w:val="en-US"/>
        </w:rPr>
        <w:t>or</w:t>
      </w:r>
      <w:r w:rsidRPr="00835D06">
        <w:rPr>
          <w:lang w:val="en-US"/>
        </w:rPr>
        <w:t xml:space="preserve"> roadmap framing. </w:t>
      </w:r>
      <w:r w:rsidR="007F302E" w:rsidRPr="00835D06">
        <w:rPr>
          <w:lang w:val="en-US"/>
        </w:rPr>
        <w:t>The time granularity has an effect on the paths of pollution and blackout risk. Presenting two mathematically identical roadmaps rather than one influences only the path of pollution.</w:t>
      </w:r>
    </w:p>
    <w:p w14:paraId="54CF94FA" w14:textId="77777777" w:rsidR="00C3529C" w:rsidRPr="0036533E" w:rsidRDefault="00C3529C" w:rsidP="00835D06">
      <w:pPr>
        <w:pStyle w:val="Heading2"/>
        <w:jc w:val="both"/>
        <w:rPr>
          <w:i w:val="0"/>
          <w:sz w:val="24"/>
          <w:szCs w:val="24"/>
        </w:rPr>
      </w:pPr>
      <w:r w:rsidRPr="0036533E">
        <w:rPr>
          <w:i w:val="0"/>
          <w:sz w:val="24"/>
          <w:szCs w:val="24"/>
        </w:rPr>
        <w:t>Conclusions</w:t>
      </w:r>
    </w:p>
    <w:p w14:paraId="5F30F9AE" w14:textId="7F8A9862" w:rsidR="009123EB" w:rsidRPr="00835D06" w:rsidRDefault="009123EB" w:rsidP="00835D06">
      <w:pPr>
        <w:widowControl w:val="0"/>
        <w:spacing w:after="120"/>
        <w:jc w:val="both"/>
        <w:rPr>
          <w:lang w:val="en-US"/>
        </w:rPr>
      </w:pPr>
      <w:r w:rsidRPr="00835D06">
        <w:rPr>
          <w:lang w:val="en-US"/>
        </w:rPr>
        <w:t xml:space="preserve">In this work, we study the impact of roadmap manipulations on regulatory decisions and market performance. In an experimental setting, we show that subsidy decisions for renewables </w:t>
      </w:r>
      <w:proofErr w:type="gramStart"/>
      <w:r w:rsidRPr="00835D06">
        <w:rPr>
          <w:lang w:val="en-US"/>
        </w:rPr>
        <w:t>are influenced</w:t>
      </w:r>
      <w:proofErr w:type="gramEnd"/>
      <w:r w:rsidRPr="00835D06">
        <w:rPr>
          <w:lang w:val="en-US"/>
        </w:rPr>
        <w:t xml:space="preserve"> by presenting a roadmap, </w:t>
      </w:r>
      <w:r w:rsidR="00EA35A9" w:rsidRPr="00835D06">
        <w:rPr>
          <w:lang w:val="en-US"/>
        </w:rPr>
        <w:t xml:space="preserve">its </w:t>
      </w:r>
      <w:r w:rsidRPr="00835D06">
        <w:rPr>
          <w:lang w:val="en-US"/>
        </w:rPr>
        <w:t xml:space="preserve">framing, the level of detail of a roadmap and the </w:t>
      </w:r>
      <w:r w:rsidR="00694E36" w:rsidRPr="00835D06">
        <w:rPr>
          <w:lang w:val="en-US"/>
        </w:rPr>
        <w:t>complexity</w:t>
      </w:r>
      <w:r w:rsidRPr="00835D06">
        <w:rPr>
          <w:lang w:val="en-US"/>
        </w:rPr>
        <w:t xml:space="preserve"> of roadmaps, while thermal subsidy decisions are only influenced by </w:t>
      </w:r>
      <w:r w:rsidR="00694E36" w:rsidRPr="00835D06">
        <w:rPr>
          <w:lang w:val="en-US"/>
        </w:rPr>
        <w:t xml:space="preserve">the presence and complexity </w:t>
      </w:r>
      <w:r w:rsidRPr="00835D06">
        <w:rPr>
          <w:lang w:val="en-US"/>
        </w:rPr>
        <w:t xml:space="preserve">of roadmaps. </w:t>
      </w:r>
    </w:p>
    <w:p w14:paraId="62A2F502" w14:textId="131B4A78" w:rsidR="00913A7C" w:rsidRPr="00835D06" w:rsidRDefault="009123EB" w:rsidP="00835D06">
      <w:pPr>
        <w:widowControl w:val="0"/>
        <w:spacing w:after="120"/>
        <w:jc w:val="both"/>
        <w:rPr>
          <w:lang w:val="en-US"/>
        </w:rPr>
      </w:pPr>
      <w:r w:rsidRPr="00835D06">
        <w:rPr>
          <w:lang w:val="en-US"/>
        </w:rPr>
        <w:t>This study provides support that</w:t>
      </w:r>
      <w:r w:rsidR="00155224" w:rsidRPr="00835D06">
        <w:rPr>
          <w:lang w:val="en-US"/>
        </w:rPr>
        <w:t xml:space="preserve"> regulatory decisions </w:t>
      </w:r>
      <w:proofErr w:type="gramStart"/>
      <w:r w:rsidR="00155224" w:rsidRPr="00835D06">
        <w:rPr>
          <w:lang w:val="en-US"/>
        </w:rPr>
        <w:t xml:space="preserve">can be </w:t>
      </w:r>
      <w:r w:rsidR="00835D06" w:rsidRPr="00835D06">
        <w:rPr>
          <w:lang w:val="en-US"/>
        </w:rPr>
        <w:t>influenced</w:t>
      </w:r>
      <w:proofErr w:type="gramEnd"/>
      <w:r w:rsidR="00835D06" w:rsidRPr="00835D06">
        <w:rPr>
          <w:lang w:val="en-US"/>
        </w:rPr>
        <w:t xml:space="preserve"> </w:t>
      </w:r>
      <w:r w:rsidR="00155224" w:rsidRPr="00835D06">
        <w:rPr>
          <w:lang w:val="en-US"/>
        </w:rPr>
        <w:t xml:space="preserve">by the roadmap choice. </w:t>
      </w:r>
      <w:r w:rsidR="00913A7C" w:rsidRPr="00835D06">
        <w:rPr>
          <w:lang w:val="en-US"/>
        </w:rPr>
        <w:t xml:space="preserve">The findings further suggest that differences in subsidy decisions do not </w:t>
      </w:r>
      <w:r w:rsidR="00835D06" w:rsidRPr="00835D06">
        <w:rPr>
          <w:lang w:val="en-US"/>
        </w:rPr>
        <w:t>necessarily</w:t>
      </w:r>
      <w:r w:rsidR="00913A7C" w:rsidRPr="00835D06">
        <w:rPr>
          <w:lang w:val="en-US"/>
        </w:rPr>
        <w:t xml:space="preserve"> translate into differences in market performance.</w:t>
      </w:r>
    </w:p>
    <w:p w14:paraId="013084E1" w14:textId="13808E9B" w:rsidR="00C3529C" w:rsidRPr="0036533E" w:rsidRDefault="00C3529C" w:rsidP="00835D06">
      <w:pPr>
        <w:pStyle w:val="Heading2"/>
        <w:rPr>
          <w:i w:val="0"/>
          <w:sz w:val="24"/>
          <w:szCs w:val="24"/>
        </w:rPr>
      </w:pPr>
      <w:bookmarkStart w:id="2" w:name="_GoBack"/>
      <w:r w:rsidRPr="0036533E">
        <w:rPr>
          <w:i w:val="0"/>
          <w:sz w:val="24"/>
          <w:szCs w:val="24"/>
        </w:rPr>
        <w:t>References</w:t>
      </w:r>
    </w:p>
    <w:bookmarkEnd w:id="2"/>
    <w:p w14:paraId="18409687" w14:textId="705CF749" w:rsidR="005417F5" w:rsidRPr="00835D06" w:rsidRDefault="005417F5" w:rsidP="00835D06">
      <w:pPr>
        <w:widowControl w:val="0"/>
        <w:autoSpaceDE w:val="0"/>
        <w:autoSpaceDN w:val="0"/>
        <w:adjustRightInd w:val="0"/>
        <w:ind w:left="480" w:hanging="480"/>
        <w:rPr>
          <w:noProof/>
        </w:rPr>
      </w:pPr>
      <w:r w:rsidRPr="00835D06">
        <w:fldChar w:fldCharType="begin" w:fldLock="1"/>
      </w:r>
      <w:r w:rsidRPr="00835D06">
        <w:instrText xml:space="preserve">ADDIN Mendeley Bibliography CSL_BIBLIOGRAPHY </w:instrText>
      </w:r>
      <w:r w:rsidRPr="00835D06">
        <w:fldChar w:fldCharType="separate"/>
      </w:r>
      <w:r w:rsidRPr="00835D06">
        <w:rPr>
          <w:noProof/>
        </w:rPr>
        <w:t xml:space="preserve">Hastie, T., &amp; Tibshirani, R. (1986). Generalized Additive Models. </w:t>
      </w:r>
      <w:r w:rsidRPr="00835D06">
        <w:rPr>
          <w:i/>
          <w:iCs/>
          <w:noProof/>
        </w:rPr>
        <w:t>Statistical Science</w:t>
      </w:r>
      <w:r w:rsidRPr="00835D06">
        <w:rPr>
          <w:noProof/>
        </w:rPr>
        <w:t xml:space="preserve">, </w:t>
      </w:r>
      <w:r w:rsidRPr="00835D06">
        <w:rPr>
          <w:i/>
          <w:iCs/>
          <w:noProof/>
        </w:rPr>
        <w:t>1</w:t>
      </w:r>
      <w:r w:rsidRPr="00835D06">
        <w:rPr>
          <w:noProof/>
        </w:rPr>
        <w:t>(3), 297–218.</w:t>
      </w:r>
    </w:p>
    <w:p w14:paraId="55AD0429" w14:textId="6A29C0D4" w:rsidR="009123EB" w:rsidRPr="00835D06" w:rsidRDefault="005417F5" w:rsidP="00835D06">
      <w:pPr>
        <w:widowControl w:val="0"/>
        <w:autoSpaceDE w:val="0"/>
        <w:autoSpaceDN w:val="0"/>
        <w:adjustRightInd w:val="0"/>
        <w:ind w:left="480" w:hanging="480"/>
      </w:pPr>
      <w:r w:rsidRPr="00835D06">
        <w:rPr>
          <w:noProof/>
        </w:rPr>
        <w:t xml:space="preserve">IRENA. (2015). </w:t>
      </w:r>
      <w:r w:rsidRPr="00835D06">
        <w:rPr>
          <w:i/>
          <w:iCs/>
          <w:noProof/>
        </w:rPr>
        <w:t>Renewable Energy Target Setting</w:t>
      </w:r>
      <w:r w:rsidRPr="00835D06">
        <w:rPr>
          <w:noProof/>
        </w:rPr>
        <w:t xml:space="preserve">. </w:t>
      </w:r>
      <w:r w:rsidRPr="00835D06">
        <w:rPr>
          <w:i/>
          <w:iCs/>
          <w:noProof/>
        </w:rPr>
        <w:t>Irena</w:t>
      </w:r>
      <w:r w:rsidRPr="00835D06">
        <w:rPr>
          <w:noProof/>
        </w:rPr>
        <w:t>.</w:t>
      </w:r>
      <w:r w:rsidRPr="00835D06">
        <w:fldChar w:fldCharType="end"/>
      </w:r>
    </w:p>
    <w:sectPr w:rsidR="009123EB" w:rsidRPr="00835D06" w:rsidSect="00C3529C">
      <w:footerReference w:type="default" r:id="rId7"/>
      <w:headerReference w:type="first" r:id="rId8"/>
      <w:footerReference w:type="first" r:id="rId9"/>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E2E72" w14:textId="77777777" w:rsidR="001212C2" w:rsidRDefault="001212C2" w:rsidP="00C3529C">
      <w:r>
        <w:separator/>
      </w:r>
    </w:p>
  </w:endnote>
  <w:endnote w:type="continuationSeparator" w:id="0">
    <w:p w14:paraId="12886995" w14:textId="77777777" w:rsidR="001212C2" w:rsidRDefault="001212C2" w:rsidP="00C3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519911"/>
      <w:docPartObj>
        <w:docPartGallery w:val="Page Numbers (Bottom of Page)"/>
        <w:docPartUnique/>
      </w:docPartObj>
    </w:sdtPr>
    <w:sdtEndPr/>
    <w:sdtContent>
      <w:p w14:paraId="1CC6DB59" w14:textId="73420E77" w:rsidR="003B00F0" w:rsidRDefault="003B00F0">
        <w:pPr>
          <w:pStyle w:val="Footer"/>
          <w:jc w:val="center"/>
        </w:pPr>
        <w:r>
          <w:fldChar w:fldCharType="begin"/>
        </w:r>
        <w:r>
          <w:instrText>PAGE   \* MERGEFORMAT</w:instrText>
        </w:r>
        <w:r>
          <w:fldChar w:fldCharType="separate"/>
        </w:r>
        <w:r w:rsidR="0036533E" w:rsidRPr="0036533E">
          <w:rPr>
            <w:noProof/>
            <w:lang w:val="fr-FR"/>
          </w:rPr>
          <w:t>1</w:t>
        </w:r>
        <w:r>
          <w:fldChar w:fldCharType="end"/>
        </w:r>
      </w:p>
    </w:sdtContent>
  </w:sdt>
  <w:p w14:paraId="13D997D6" w14:textId="77777777" w:rsidR="003B00F0" w:rsidRPr="00C3529C" w:rsidRDefault="003B00F0">
    <w:pPr>
      <w:pStyle w:val="Footer"/>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686273"/>
      <w:docPartObj>
        <w:docPartGallery w:val="Page Numbers (Bottom of Page)"/>
        <w:docPartUnique/>
      </w:docPartObj>
    </w:sdtPr>
    <w:sdtEndPr/>
    <w:sdtContent>
      <w:p w14:paraId="74AA68E5" w14:textId="77777777" w:rsidR="003B00F0" w:rsidRDefault="003B00F0">
        <w:pPr>
          <w:pStyle w:val="Footer"/>
          <w:jc w:val="center"/>
        </w:pPr>
        <w:r>
          <w:fldChar w:fldCharType="begin"/>
        </w:r>
        <w:r>
          <w:instrText>PAGE   \* MERGEFORMAT</w:instrText>
        </w:r>
        <w:r>
          <w:fldChar w:fldCharType="separate"/>
        </w:r>
        <w:r w:rsidRPr="00C3529C">
          <w:rPr>
            <w:noProof/>
            <w:lang w:val="fr-FR"/>
          </w:rPr>
          <w:t>1</w:t>
        </w:r>
        <w:r>
          <w:fldChar w:fldCharType="end"/>
        </w:r>
      </w:p>
    </w:sdtContent>
  </w:sdt>
  <w:p w14:paraId="48870ADC" w14:textId="77777777" w:rsidR="003B00F0" w:rsidRDefault="003B0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032F9" w14:textId="77777777" w:rsidR="001212C2" w:rsidRDefault="001212C2" w:rsidP="00C3529C">
      <w:r>
        <w:separator/>
      </w:r>
    </w:p>
  </w:footnote>
  <w:footnote w:type="continuationSeparator" w:id="0">
    <w:p w14:paraId="0C095AF7" w14:textId="77777777" w:rsidR="001212C2" w:rsidRDefault="001212C2" w:rsidP="00C3529C">
      <w:r>
        <w:continuationSeparator/>
      </w:r>
    </w:p>
  </w:footnote>
  <w:footnote w:id="1">
    <w:p w14:paraId="744034CB" w14:textId="1CA131F0" w:rsidR="002D4208" w:rsidRPr="002D4208" w:rsidRDefault="002D4208">
      <w:pPr>
        <w:pStyle w:val="FootnoteText"/>
      </w:pPr>
      <w:r>
        <w:rPr>
          <w:rStyle w:val="FootnoteReference"/>
        </w:rPr>
        <w:footnoteRef/>
      </w:r>
      <w:r>
        <w:t xml:space="preserve"> </w:t>
      </w:r>
      <w:r w:rsidRPr="009E334D">
        <w:t xml:space="preserve">In a between-subject design, </w:t>
      </w:r>
      <w:r>
        <w:t>each participant experience</w:t>
      </w:r>
      <w:r w:rsidR="00580FF6">
        <w:t>s</w:t>
      </w:r>
      <w:r>
        <w:t xml:space="preserve"> only one experimental condition.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F9D4" w14:textId="77777777" w:rsidR="003B00F0" w:rsidRDefault="003B00F0" w:rsidP="00005911">
    <w:pPr>
      <w:pStyle w:val="Header"/>
      <w:tabs>
        <w:tab w:val="clear" w:pos="5400"/>
        <w:tab w:val="center" w:pos="851"/>
      </w:tabs>
      <w:jc w:val="right"/>
    </w:pPr>
    <w:r>
      <w:rPr>
        <w:lang w:val="en-US"/>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jK1sDA2MEux0E2xNDTVNUkxNdS1MDEx1zVNTk1MTTE1sLBITFHSUQpOLS7OzM8DaTGuBQDeW+KKQwAAAA=="/>
  </w:docVars>
  <w:rsids>
    <w:rsidRoot w:val="00C3529C"/>
    <w:rsid w:val="000014F7"/>
    <w:rsid w:val="00005911"/>
    <w:rsid w:val="00010BD5"/>
    <w:rsid w:val="00044352"/>
    <w:rsid w:val="000A716B"/>
    <w:rsid w:val="000C4CB5"/>
    <w:rsid w:val="000E7E3E"/>
    <w:rsid w:val="00102EFD"/>
    <w:rsid w:val="00104909"/>
    <w:rsid w:val="0011000A"/>
    <w:rsid w:val="001212C2"/>
    <w:rsid w:val="00135224"/>
    <w:rsid w:val="00155224"/>
    <w:rsid w:val="001822C5"/>
    <w:rsid w:val="001A69EA"/>
    <w:rsid w:val="001B7BB4"/>
    <w:rsid w:val="00205DAA"/>
    <w:rsid w:val="00206075"/>
    <w:rsid w:val="0024229E"/>
    <w:rsid w:val="002553FD"/>
    <w:rsid w:val="002622E4"/>
    <w:rsid w:val="00274574"/>
    <w:rsid w:val="0027689B"/>
    <w:rsid w:val="00284B1E"/>
    <w:rsid w:val="002A5E6A"/>
    <w:rsid w:val="002A6350"/>
    <w:rsid w:val="002C64AD"/>
    <w:rsid w:val="002D4208"/>
    <w:rsid w:val="00347292"/>
    <w:rsid w:val="00360701"/>
    <w:rsid w:val="0036533E"/>
    <w:rsid w:val="003A2583"/>
    <w:rsid w:val="003A2FA2"/>
    <w:rsid w:val="003B00F0"/>
    <w:rsid w:val="003D4701"/>
    <w:rsid w:val="00400B1C"/>
    <w:rsid w:val="00407464"/>
    <w:rsid w:val="004223E7"/>
    <w:rsid w:val="00432785"/>
    <w:rsid w:val="0044121A"/>
    <w:rsid w:val="00494CA8"/>
    <w:rsid w:val="004A29C9"/>
    <w:rsid w:val="004E1567"/>
    <w:rsid w:val="004E6BFB"/>
    <w:rsid w:val="004F50FA"/>
    <w:rsid w:val="00514014"/>
    <w:rsid w:val="00521DC0"/>
    <w:rsid w:val="00527FC4"/>
    <w:rsid w:val="005417F5"/>
    <w:rsid w:val="00580BA2"/>
    <w:rsid w:val="00580D4A"/>
    <w:rsid w:val="00580FF6"/>
    <w:rsid w:val="005A0286"/>
    <w:rsid w:val="005A5514"/>
    <w:rsid w:val="005A7443"/>
    <w:rsid w:val="005B7B6C"/>
    <w:rsid w:val="005F334F"/>
    <w:rsid w:val="005F7F36"/>
    <w:rsid w:val="006053F6"/>
    <w:rsid w:val="00606665"/>
    <w:rsid w:val="006144BB"/>
    <w:rsid w:val="00620B4F"/>
    <w:rsid w:val="00626B5F"/>
    <w:rsid w:val="00694E36"/>
    <w:rsid w:val="006C016D"/>
    <w:rsid w:val="006F3170"/>
    <w:rsid w:val="00711907"/>
    <w:rsid w:val="00714A54"/>
    <w:rsid w:val="00744A4A"/>
    <w:rsid w:val="00770BB3"/>
    <w:rsid w:val="0079097D"/>
    <w:rsid w:val="007B1841"/>
    <w:rsid w:val="007C0644"/>
    <w:rsid w:val="007D58AD"/>
    <w:rsid w:val="007F302E"/>
    <w:rsid w:val="007F4CA9"/>
    <w:rsid w:val="0082268C"/>
    <w:rsid w:val="00835D06"/>
    <w:rsid w:val="008960E3"/>
    <w:rsid w:val="008A22B8"/>
    <w:rsid w:val="008A6EF2"/>
    <w:rsid w:val="008C3F8A"/>
    <w:rsid w:val="008D6621"/>
    <w:rsid w:val="008E0EEA"/>
    <w:rsid w:val="008E142F"/>
    <w:rsid w:val="008E26D9"/>
    <w:rsid w:val="008E57FE"/>
    <w:rsid w:val="008E6C34"/>
    <w:rsid w:val="009123EB"/>
    <w:rsid w:val="00913A7C"/>
    <w:rsid w:val="0092230D"/>
    <w:rsid w:val="0092605C"/>
    <w:rsid w:val="009469A4"/>
    <w:rsid w:val="00981817"/>
    <w:rsid w:val="009A09F6"/>
    <w:rsid w:val="009A15FD"/>
    <w:rsid w:val="009A5018"/>
    <w:rsid w:val="009A7188"/>
    <w:rsid w:val="009B4B94"/>
    <w:rsid w:val="009B4FB7"/>
    <w:rsid w:val="009D2B15"/>
    <w:rsid w:val="009D3684"/>
    <w:rsid w:val="009E334D"/>
    <w:rsid w:val="009F3ADE"/>
    <w:rsid w:val="00A027EB"/>
    <w:rsid w:val="00A0286B"/>
    <w:rsid w:val="00A17623"/>
    <w:rsid w:val="00A9506F"/>
    <w:rsid w:val="00AB467B"/>
    <w:rsid w:val="00B02E1B"/>
    <w:rsid w:val="00B03CA2"/>
    <w:rsid w:val="00B056D4"/>
    <w:rsid w:val="00B1592D"/>
    <w:rsid w:val="00B175C5"/>
    <w:rsid w:val="00B64045"/>
    <w:rsid w:val="00B95096"/>
    <w:rsid w:val="00BA7DE6"/>
    <w:rsid w:val="00BC4FB1"/>
    <w:rsid w:val="00C3529C"/>
    <w:rsid w:val="00C43C25"/>
    <w:rsid w:val="00C45B2B"/>
    <w:rsid w:val="00C465E4"/>
    <w:rsid w:val="00C64B3D"/>
    <w:rsid w:val="00C76A94"/>
    <w:rsid w:val="00CB781D"/>
    <w:rsid w:val="00CD3A04"/>
    <w:rsid w:val="00CE2E6B"/>
    <w:rsid w:val="00CE5007"/>
    <w:rsid w:val="00CF33C7"/>
    <w:rsid w:val="00D20622"/>
    <w:rsid w:val="00D54CA8"/>
    <w:rsid w:val="00D67499"/>
    <w:rsid w:val="00D75717"/>
    <w:rsid w:val="00DC3966"/>
    <w:rsid w:val="00DC4466"/>
    <w:rsid w:val="00DE3421"/>
    <w:rsid w:val="00DE7E8B"/>
    <w:rsid w:val="00DF351C"/>
    <w:rsid w:val="00DF7C55"/>
    <w:rsid w:val="00E211C2"/>
    <w:rsid w:val="00E347C0"/>
    <w:rsid w:val="00E37238"/>
    <w:rsid w:val="00E80CB0"/>
    <w:rsid w:val="00E81468"/>
    <w:rsid w:val="00EA35A9"/>
    <w:rsid w:val="00ED61A4"/>
    <w:rsid w:val="00F05FD1"/>
    <w:rsid w:val="00F2345B"/>
    <w:rsid w:val="00F36D5A"/>
    <w:rsid w:val="00F433FA"/>
    <w:rsid w:val="00FA5F3F"/>
    <w:rsid w:val="00FC6175"/>
    <w:rsid w:val="00FC660F"/>
    <w:rsid w:val="00FE2C84"/>
    <w:rsid w:val="00FE3C8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0C7C7"/>
  <w15:docId w15:val="{835F5C24-6BD3-40C6-A682-147105DE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29C"/>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C3529C"/>
    <w:pPr>
      <w:keepNext/>
      <w:spacing w:before="240" w:after="60"/>
      <w:outlineLvl w:val="1"/>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529C"/>
    <w:rPr>
      <w:rFonts w:ascii="Arial" w:eastAsia="Times New Roman" w:hAnsi="Arial" w:cs="Times New Roman"/>
      <w:b/>
      <w:i/>
      <w:szCs w:val="20"/>
      <w:lang w:val="en-GB"/>
    </w:rPr>
  </w:style>
  <w:style w:type="paragraph" w:styleId="Header">
    <w:name w:val="header"/>
    <w:basedOn w:val="Normal"/>
    <w:link w:val="HeaderChar"/>
    <w:rsid w:val="00C3529C"/>
    <w:pPr>
      <w:tabs>
        <w:tab w:val="center" w:pos="5400"/>
        <w:tab w:val="right" w:pos="10800"/>
      </w:tabs>
    </w:pPr>
    <w:rPr>
      <w:rFonts w:ascii="Arial" w:hAnsi="Arial"/>
      <w:sz w:val="16"/>
    </w:rPr>
  </w:style>
  <w:style w:type="character" w:customStyle="1" w:styleId="HeaderChar">
    <w:name w:val="Header Char"/>
    <w:basedOn w:val="DefaultParagraphFont"/>
    <w:link w:val="Header"/>
    <w:rsid w:val="00C3529C"/>
    <w:rPr>
      <w:rFonts w:ascii="Arial" w:eastAsia="Times New Roman" w:hAnsi="Arial" w:cs="Times New Roman"/>
      <w:sz w:val="16"/>
      <w:szCs w:val="20"/>
      <w:lang w:val="en-GB"/>
    </w:rPr>
  </w:style>
  <w:style w:type="paragraph" w:customStyle="1" w:styleId="copyright">
    <w:name w:val="copyright"/>
    <w:basedOn w:val="Normal"/>
    <w:rsid w:val="00C3529C"/>
    <w:pPr>
      <w:spacing w:line="140" w:lineRule="exact"/>
      <w:jc w:val="both"/>
    </w:pPr>
    <w:rPr>
      <w:rFonts w:ascii="Arial" w:hAnsi="Arial"/>
      <w:sz w:val="12"/>
    </w:rPr>
  </w:style>
  <w:style w:type="paragraph" w:styleId="BodyText">
    <w:name w:val="Body Text"/>
    <w:basedOn w:val="Normal"/>
    <w:link w:val="BodyTextChar"/>
    <w:rsid w:val="00C3529C"/>
    <w:rPr>
      <w:sz w:val="22"/>
    </w:rPr>
  </w:style>
  <w:style w:type="character" w:customStyle="1" w:styleId="BodyTextChar">
    <w:name w:val="Body Text Char"/>
    <w:basedOn w:val="DefaultParagraphFont"/>
    <w:link w:val="BodyText"/>
    <w:rsid w:val="00C3529C"/>
    <w:rPr>
      <w:rFonts w:ascii="Times New Roman" w:eastAsia="Times New Roman" w:hAnsi="Times New Roman" w:cs="Times New Roman"/>
      <w:szCs w:val="20"/>
      <w:lang w:val="en-GB"/>
    </w:rPr>
  </w:style>
  <w:style w:type="paragraph" w:styleId="BodyText2">
    <w:name w:val="Body Text 2"/>
    <w:basedOn w:val="Normal"/>
    <w:link w:val="BodyText2Char"/>
    <w:rsid w:val="00C3529C"/>
    <w:pPr>
      <w:jc w:val="both"/>
    </w:pPr>
  </w:style>
  <w:style w:type="character" w:customStyle="1" w:styleId="BodyText2Char">
    <w:name w:val="Body Text 2 Char"/>
    <w:basedOn w:val="DefaultParagraphFont"/>
    <w:link w:val="BodyText2"/>
    <w:rsid w:val="00C3529C"/>
    <w:rPr>
      <w:rFonts w:ascii="Times New Roman" w:eastAsia="Times New Roman" w:hAnsi="Times New Roman" w:cs="Times New Roman"/>
      <w:sz w:val="20"/>
      <w:szCs w:val="20"/>
      <w:lang w:val="en-GB"/>
    </w:rPr>
  </w:style>
  <w:style w:type="paragraph" w:styleId="Bibliography">
    <w:name w:val="Bibliography"/>
    <w:basedOn w:val="Normal"/>
    <w:next w:val="Normal"/>
    <w:uiPriority w:val="37"/>
    <w:unhideWhenUsed/>
    <w:rsid w:val="00C3529C"/>
  </w:style>
  <w:style w:type="paragraph" w:styleId="Footer">
    <w:name w:val="footer"/>
    <w:basedOn w:val="Normal"/>
    <w:link w:val="FooterChar"/>
    <w:uiPriority w:val="99"/>
    <w:unhideWhenUsed/>
    <w:rsid w:val="00C3529C"/>
    <w:pPr>
      <w:tabs>
        <w:tab w:val="center" w:pos="4536"/>
        <w:tab w:val="right" w:pos="9072"/>
      </w:tabs>
    </w:pPr>
  </w:style>
  <w:style w:type="character" w:customStyle="1" w:styleId="FooterChar">
    <w:name w:val="Footer Char"/>
    <w:basedOn w:val="DefaultParagraphFont"/>
    <w:link w:val="Footer"/>
    <w:uiPriority w:val="99"/>
    <w:rsid w:val="00C3529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DF7C55"/>
    <w:rPr>
      <w:rFonts w:ascii="Tahoma" w:hAnsi="Tahoma" w:cs="Tahoma"/>
      <w:sz w:val="16"/>
      <w:szCs w:val="16"/>
    </w:rPr>
  </w:style>
  <w:style w:type="character" w:customStyle="1" w:styleId="BalloonTextChar">
    <w:name w:val="Balloon Text Char"/>
    <w:basedOn w:val="DefaultParagraphFont"/>
    <w:link w:val="BalloonText"/>
    <w:uiPriority w:val="99"/>
    <w:semiHidden/>
    <w:rsid w:val="00DF7C55"/>
    <w:rPr>
      <w:rFonts w:ascii="Tahoma" w:eastAsia="Times New Roman" w:hAnsi="Tahoma" w:cs="Tahoma"/>
      <w:sz w:val="16"/>
      <w:szCs w:val="16"/>
      <w:lang w:val="en-GB"/>
    </w:rPr>
  </w:style>
  <w:style w:type="table" w:styleId="TableGrid">
    <w:name w:val="Table Grid"/>
    <w:basedOn w:val="TableNormal"/>
    <w:uiPriority w:val="39"/>
    <w:rsid w:val="00CE5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E5007"/>
    <w:pPr>
      <w:spacing w:after="200"/>
    </w:pPr>
    <w:rPr>
      <w:b/>
      <w:bCs/>
      <w:color w:val="4F81BD" w:themeColor="accent1"/>
      <w:sz w:val="18"/>
      <w:szCs w:val="18"/>
    </w:rPr>
  </w:style>
  <w:style w:type="table" w:styleId="LightShading">
    <w:name w:val="Light Shading"/>
    <w:basedOn w:val="TableNormal"/>
    <w:uiPriority w:val="60"/>
    <w:rsid w:val="00A028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9E334D"/>
  </w:style>
  <w:style w:type="character" w:customStyle="1" w:styleId="FootnoteTextChar">
    <w:name w:val="Footnote Text Char"/>
    <w:basedOn w:val="DefaultParagraphFont"/>
    <w:link w:val="FootnoteText"/>
    <w:uiPriority w:val="99"/>
    <w:semiHidden/>
    <w:rsid w:val="009E334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E3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Eur173</b:Tag>
    <b:SourceType>DocumentFromInternetSite</b:SourceType>
    <b:Guid>{EB7A4087-7E60-4E12-A12B-DD212CDAF64C}</b:Guid>
    <b:Author>
      <b:Author>
        <b:NameList>
          <b:Person>
            <b:Last>Commission</b:Last>
            <b:First>European</b:First>
          </b:Person>
        </b:NameList>
      </b:Author>
    </b:Author>
    <b:Title>Directive of the European Parliament and of the Council on the promotion of the use of energy from renewable sources</b:Title>
    <b:Year>2017</b:Year>
    <b:Month>2</b:Month>
    <b:Day>23</b:Day>
    <b:YearAccessed>2018</b:YearAccessed>
    <b:MonthAccessed>1</b:MonthAccessed>
    <b:DayAccessed>4</b:DayAccessed>
    <b:URL>http://eur-lex.europa.eu/legal-content/EN/TXT/?uri=CELEX:52016PC0767R%2801%29</b:URL>
    <b:RefOrder>1</b:RefOrder>
  </b:Source>
</b:Sources>
</file>

<file path=customXml/itemProps1.xml><?xml version="1.0" encoding="utf-8"?>
<ds:datastoreItem xmlns:ds="http://schemas.openxmlformats.org/officeDocument/2006/customXml" ds:itemID="{9C19DBD9-1820-4B9F-99C9-479340F3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Pages>
  <Words>1550</Words>
  <Characters>8527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HEC Lausanne</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GENCER BUSRA</dc:creator>
  <cp:lastModifiedBy>BGENCER1</cp:lastModifiedBy>
  <cp:revision>19</cp:revision>
  <cp:lastPrinted>2018-12-11T15:21:00Z</cp:lastPrinted>
  <dcterms:created xsi:type="dcterms:W3CDTF">2018-12-10T17:26:00Z</dcterms:created>
  <dcterms:modified xsi:type="dcterms:W3CDTF">2018-12-12T15:22:00Z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b6a03fa2-431d-3325-b06d-a20587f91ac1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http://www.zotero.org/styles/renewable-and-sustainable-energy-reviews</vt:lpwstr>
  </property>
  <property fmtid="{D5CDD505-2E9C-101B-9397-08002B2CF9AE}" pid="24" name="Mendeley Recent Style Name 9_1">
    <vt:lpwstr>Renewable and Sustainable Energy Reviews</vt:lpwstr>
  </property>
</Properties>
</file>