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848F6" w14:textId="77777777"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14:paraId="3E73A896" w14:textId="5F6D6752" w:rsidR="00DC69F1" w:rsidRDefault="00CA4F1E" w:rsidP="004941F4">
      <w:pPr>
        <w:pStyle w:val="BodyText"/>
        <w:framePr w:w="10800" w:h="2142" w:hRule="exact" w:hSpace="187" w:wrap="auto" w:vAnchor="page" w:hAnchor="page" w:x="714" w:y="1085"/>
        <w:ind w:firstLine="720"/>
        <w:rPr>
          <w:b/>
          <w:sz w:val="28"/>
          <w:szCs w:val="28"/>
        </w:rPr>
      </w:pPr>
      <w:r w:rsidRPr="00CA4F1E">
        <w:rPr>
          <w:b/>
          <w:i/>
          <w:caps/>
          <w:sz w:val="28"/>
          <w:szCs w:val="28"/>
        </w:rPr>
        <w:t>How much climate policy has cost your country?</w:t>
      </w:r>
    </w:p>
    <w:p w14:paraId="2E27DCF3" w14:textId="77777777" w:rsidR="00CA4F1E" w:rsidRDefault="00CA4F1E" w:rsidP="00DC69F1">
      <w:pPr>
        <w:pStyle w:val="BodyText"/>
        <w:framePr w:w="10800" w:h="2142" w:hRule="exact" w:hSpace="187" w:wrap="auto" w:vAnchor="page" w:hAnchor="page" w:x="714" w:y="1085"/>
        <w:jc w:val="right"/>
        <w:rPr>
          <w:sz w:val="20"/>
        </w:rPr>
      </w:pPr>
    </w:p>
    <w:p w14:paraId="7CCA961A" w14:textId="2C203084" w:rsidR="00CA4F1E" w:rsidRDefault="00CA4F1E" w:rsidP="00CA4F1E">
      <w:pPr>
        <w:pStyle w:val="BodyText"/>
        <w:framePr w:w="10800" w:h="2142" w:hRule="exact" w:hSpace="187" w:wrap="auto" w:vAnchor="page" w:hAnchor="page" w:x="714" w:y="1085"/>
        <w:jc w:val="right"/>
        <w:rPr>
          <w:sz w:val="20"/>
        </w:rPr>
      </w:pPr>
      <w:r w:rsidRPr="00D767DA">
        <w:rPr>
          <w:sz w:val="20"/>
        </w:rPr>
        <w:t xml:space="preserve"> </w:t>
      </w:r>
      <w:r w:rsidRPr="00CA4F1E">
        <w:rPr>
          <w:sz w:val="20"/>
        </w:rPr>
        <w:t>Timo Kuosmanen</w:t>
      </w:r>
      <w:r>
        <w:rPr>
          <w:sz w:val="20"/>
        </w:rPr>
        <w:t>, Aalto University School of Business, Helsinki, Finland, +358 9</w:t>
      </w:r>
      <w:r w:rsidRPr="00CA4F1E">
        <w:rPr>
          <w:sz w:val="20"/>
        </w:rPr>
        <w:t>47001</w:t>
      </w:r>
      <w:r>
        <w:rPr>
          <w:sz w:val="20"/>
        </w:rPr>
        <w:t>, timo.kuosmanen@aalto.fi</w:t>
      </w:r>
    </w:p>
    <w:p w14:paraId="6496B132" w14:textId="05D7BAFE" w:rsidR="00CA4F1E" w:rsidRDefault="00CA4F1E" w:rsidP="00CA4F1E">
      <w:pPr>
        <w:pStyle w:val="BodyText"/>
        <w:framePr w:w="10800" w:h="2142" w:hRule="exact" w:hSpace="187" w:wrap="auto" w:vAnchor="page" w:hAnchor="page" w:x="714" w:y="1085"/>
        <w:jc w:val="right"/>
        <w:rPr>
          <w:sz w:val="20"/>
        </w:rPr>
      </w:pPr>
      <w:r w:rsidRPr="00CA4F1E">
        <w:rPr>
          <w:sz w:val="20"/>
        </w:rPr>
        <w:t>Xun Zhou,</w:t>
      </w:r>
      <w:r>
        <w:rPr>
          <w:sz w:val="20"/>
        </w:rPr>
        <w:t xml:space="preserve"> </w:t>
      </w:r>
      <w:r>
        <w:rPr>
          <w:sz w:val="20"/>
        </w:rPr>
        <w:t>Aalto University School of Business,</w:t>
      </w:r>
      <w:r>
        <w:rPr>
          <w:sz w:val="20"/>
        </w:rPr>
        <w:t xml:space="preserve"> </w:t>
      </w:r>
      <w:r>
        <w:rPr>
          <w:sz w:val="20"/>
        </w:rPr>
        <w:t>Helsinki, Finland, +358 9</w:t>
      </w:r>
      <w:r w:rsidRPr="00CA4F1E">
        <w:rPr>
          <w:sz w:val="20"/>
        </w:rPr>
        <w:t>47001</w:t>
      </w:r>
      <w:r>
        <w:rPr>
          <w:sz w:val="20"/>
        </w:rPr>
        <w:t xml:space="preserve">, </w:t>
      </w:r>
      <w:r>
        <w:rPr>
          <w:sz w:val="20"/>
        </w:rPr>
        <w:t>xun.zhou</w:t>
      </w:r>
      <w:r>
        <w:rPr>
          <w:sz w:val="20"/>
        </w:rPr>
        <w:t>@aalto.fi</w:t>
      </w:r>
      <w:r w:rsidRPr="00CA4F1E">
        <w:rPr>
          <w:sz w:val="20"/>
        </w:rPr>
        <w:t xml:space="preserve"> </w:t>
      </w:r>
    </w:p>
    <w:p w14:paraId="0CCB5FC1" w14:textId="3A343A9D" w:rsidR="00CA4F1E" w:rsidRPr="00CA4F1E" w:rsidRDefault="00CA4F1E" w:rsidP="00CA4F1E">
      <w:pPr>
        <w:pStyle w:val="BodyText"/>
        <w:framePr w:w="10800" w:h="2142" w:hRule="exact" w:hSpace="187" w:wrap="auto" w:vAnchor="page" w:hAnchor="page" w:x="714" w:y="1085"/>
        <w:jc w:val="right"/>
        <w:rPr>
          <w:sz w:val="20"/>
        </w:rPr>
      </w:pPr>
      <w:r w:rsidRPr="00CA4F1E">
        <w:rPr>
          <w:sz w:val="20"/>
        </w:rPr>
        <w:t>Sheng Dai</w:t>
      </w:r>
      <w:r>
        <w:rPr>
          <w:sz w:val="20"/>
        </w:rPr>
        <w:t xml:space="preserve">, </w:t>
      </w:r>
      <w:r>
        <w:rPr>
          <w:sz w:val="20"/>
        </w:rPr>
        <w:t>Aalto University School of Business,</w:t>
      </w:r>
      <w:r>
        <w:rPr>
          <w:sz w:val="20"/>
        </w:rPr>
        <w:t xml:space="preserve"> </w:t>
      </w:r>
      <w:r>
        <w:rPr>
          <w:sz w:val="20"/>
        </w:rPr>
        <w:t>Helsinki, Finland, +358 9</w:t>
      </w:r>
      <w:r w:rsidRPr="00CA4F1E">
        <w:rPr>
          <w:sz w:val="20"/>
        </w:rPr>
        <w:t>47001</w:t>
      </w:r>
      <w:r>
        <w:rPr>
          <w:sz w:val="20"/>
        </w:rPr>
        <w:t xml:space="preserve">, </w:t>
      </w:r>
      <w:r>
        <w:rPr>
          <w:sz w:val="20"/>
        </w:rPr>
        <w:t>sheng.dai</w:t>
      </w:r>
      <w:r>
        <w:rPr>
          <w:sz w:val="20"/>
        </w:rPr>
        <w:t>@aalto.fi</w:t>
      </w:r>
    </w:p>
    <w:p w14:paraId="74C1000A" w14:textId="77777777" w:rsidR="00DC69F1" w:rsidRPr="00476853" w:rsidRDefault="00DC69F1" w:rsidP="00DC69F1">
      <w:pPr>
        <w:pStyle w:val="Heading2"/>
        <w:ind w:left="-810" w:firstLine="810"/>
        <w:rPr>
          <w:i w:val="0"/>
          <w:sz w:val="24"/>
          <w:szCs w:val="24"/>
        </w:rPr>
      </w:pPr>
      <w:r w:rsidRPr="00476853">
        <w:rPr>
          <w:i w:val="0"/>
          <w:sz w:val="24"/>
          <w:szCs w:val="24"/>
        </w:rPr>
        <w:t>Overview</w:t>
      </w:r>
    </w:p>
    <w:p w14:paraId="133CC084" w14:textId="6C77E8B5" w:rsidR="00CA4F1E" w:rsidRDefault="00CA4F1E" w:rsidP="00CA4F1E">
      <w:pPr>
        <w:pStyle w:val="BodyText2"/>
        <w:spacing w:after="200"/>
      </w:pPr>
      <w:r>
        <w:t xml:space="preserve">Global climate change, attributed to the increased levels of green-house gases (GHG) produced </w:t>
      </w:r>
      <w:proofErr w:type="gramStart"/>
      <w:r>
        <w:t>by the use of</w:t>
      </w:r>
      <w:proofErr w:type="gramEnd"/>
      <w:r>
        <w:t xml:space="preserve"> fossil fuels, is widely considered as the most difficult challenge for sustainable development. Increasing concentration of GHG in the atmosphere contributes to global warming, which has alre</w:t>
      </w:r>
      <w:bookmarkStart w:id="0" w:name="_GoBack"/>
      <w:bookmarkEnd w:id="0"/>
      <w:r>
        <w:t xml:space="preserve">ady </w:t>
      </w:r>
      <w:proofErr w:type="gramStart"/>
      <w:r>
        <w:t>lead</w:t>
      </w:r>
      <w:proofErr w:type="gramEnd"/>
      <w:r>
        <w:t xml:space="preserve"> to increasing frequency and intensity of extreme weather events around the world. In the future, global warming and more severe weather events are expected to inflict severe loss of life and damage to property as well as eco-systems. Poor countries and regions are expected to suffer disproportionately larger damage costs.</w:t>
      </w:r>
    </w:p>
    <w:p w14:paraId="1CB24001" w14:textId="35F61263" w:rsidR="00CA4F1E" w:rsidRDefault="00CA4F1E" w:rsidP="00CA4F1E">
      <w:pPr>
        <w:pStyle w:val="BodyText2"/>
        <w:spacing w:after="200"/>
      </w:pPr>
      <w:r>
        <w:tab/>
        <w:t xml:space="preserve">International treaties to mitigate climate change date back to the early 1990s. The United Nations Framework Convention on Climate Change (UNFCCC) was opened for signature in Rio de Janeiro in </w:t>
      </w:r>
      <w:proofErr w:type="gramStart"/>
      <w:r>
        <w:t>1992, and</w:t>
      </w:r>
      <w:proofErr w:type="gramEnd"/>
      <w:r>
        <w:t xml:space="preserve"> has been subsequently ratified by all member states of the United Nations. Five years later in 1997, a group of 52 industrialized countries signed a treaty known as the Kyoto Protocol where the signatory countries committed themselves to binding GHG emission reduction targets. The first commitment period was completed in 2008-2012, and the second commitment period takes place in 2013-2020. Parties to the UNFCCC continue to meet on a regular basis to discuss climate policy beyond 2020.</w:t>
      </w:r>
    </w:p>
    <w:p w14:paraId="7D4E14BE" w14:textId="77777777" w:rsidR="00CA4F1E" w:rsidRDefault="00CA4F1E" w:rsidP="00CA4F1E">
      <w:pPr>
        <w:pStyle w:val="BodyText2"/>
        <w:spacing w:after="200"/>
      </w:pPr>
      <w:r>
        <w:tab/>
        <w:t xml:space="preserve">In the late 1990s, the economic cost of Kyoto Protocol was intensively debated both in academic and political arenas. A seminal study by Nordhaus and Boyer (1999) applies Computable General </w:t>
      </w:r>
      <w:proofErr w:type="spellStart"/>
      <w:r>
        <w:t>Equibrium</w:t>
      </w:r>
      <w:proofErr w:type="spellEnd"/>
      <w:r>
        <w:t xml:space="preserve"> (CGE) model to estimate the global cost of the Kyoto Protocol. According to their model, the net present value of total cost is $716 billion US dollars, of which the share of the USA would be almost two thirds. They also argue that the Kyoto Protocol is highly cost-ineffective with the total cost 7 times higher than the benefit. Murkowski (2000) calculates that the average cost for a US household would be as high as $2,728 per year, leading to eradication of 2.4 Million jobs. The perceived high cost on the US economy has been the most important single reason for the USA to decline from ratification of the Kyoto Protocol. </w:t>
      </w:r>
    </w:p>
    <w:p w14:paraId="3B618E1E" w14:textId="0CBF5DD9" w:rsidR="00DC69F1" w:rsidRPr="00A247C7" w:rsidRDefault="00CA4F1E" w:rsidP="00CA4F1E">
      <w:pPr>
        <w:pStyle w:val="BodyText2"/>
        <w:spacing w:after="200"/>
        <w:rPr>
          <w:i/>
        </w:rPr>
      </w:pPr>
      <w:r>
        <w:tab/>
        <w:t xml:space="preserve">As the second commitment period of the Kyoto Protocol draws to its end in 2020, it is high time to shed empirical light on the cost of Kyoto, and climate policy in general. However, any empirical cost assessment of climate policy involves many severe challenges. Firstly, specifying an appropriate counterfactual to Kyoto is far from self-evident. As noted above, several countries that signed the Kyoto Protocol have later withdrawn from their commitments, or simply failed to comply with their targets. On the other hand, countries that did not commit to the Kyoto targets have also implemented voluntarily abatement measures. Secondly, leakage of emissions though trade to developing countries with lower emissions standards is a well-recognized problem. Thirdly, there are indirect costs and benefits that are difficult to measure. For example, measures to abate CO2 may also lead to reduction in PM and </w:t>
      </w:r>
      <w:proofErr w:type="spellStart"/>
      <w:r>
        <w:t>SOx</w:t>
      </w:r>
      <w:proofErr w:type="spellEnd"/>
      <w:r>
        <w:t xml:space="preserve"> emissions, improving the air quality at local or regional levels.</w:t>
      </w:r>
    </w:p>
    <w:p w14:paraId="2895ED77" w14:textId="77777777" w:rsidR="00DC69F1" w:rsidRPr="00D767DA" w:rsidRDefault="00DC69F1">
      <w:pPr>
        <w:pStyle w:val="Heading2"/>
        <w:rPr>
          <w:i w:val="0"/>
          <w:sz w:val="24"/>
          <w:szCs w:val="24"/>
        </w:rPr>
      </w:pPr>
      <w:r w:rsidRPr="00D767DA">
        <w:rPr>
          <w:i w:val="0"/>
          <w:sz w:val="24"/>
          <w:szCs w:val="24"/>
        </w:rPr>
        <w:t>Methods</w:t>
      </w:r>
    </w:p>
    <w:p w14:paraId="030E87C5" w14:textId="77777777" w:rsidR="004941F4" w:rsidRDefault="00CA4F1E" w:rsidP="004941F4">
      <w:pPr>
        <w:pStyle w:val="Heading2"/>
        <w:jc w:val="both"/>
        <w:rPr>
          <w:rFonts w:ascii="Times New Roman" w:hAnsi="Times New Roman"/>
          <w:b w:val="0"/>
          <w:i w:val="0"/>
          <w:sz w:val="20"/>
        </w:rPr>
      </w:pPr>
      <w:r w:rsidRPr="00CA4F1E">
        <w:rPr>
          <w:rFonts w:ascii="Times New Roman" w:hAnsi="Times New Roman"/>
          <w:b w:val="0"/>
          <w:i w:val="0"/>
          <w:sz w:val="20"/>
        </w:rPr>
        <w:t xml:space="preserve">The purpose of this study is to address the first challenge by estimating the total abatement cost of the actual change of GHG emissions relative to 1990, the benchmark year of the Kyoto Protocol. More specifically, we approximate the total cost by multiplying the observed reduction in GHG emissions by its marginal abatement cost. To estimate the marginal abatement cost, we resort to convex quantile regression (Kuosmanen et al., 2015; and Kuosmanen and Zhou, 2018), which is a data-driven estimation method that combines the key advantages of convex nonparametric regression and quantile regression. </w:t>
      </w:r>
    </w:p>
    <w:p w14:paraId="62248020" w14:textId="0860C266" w:rsidR="00DC69F1" w:rsidRPr="004941F4" w:rsidRDefault="00CA4F1E" w:rsidP="004941F4">
      <w:pPr>
        <w:pStyle w:val="Heading2"/>
        <w:ind w:firstLine="720"/>
        <w:jc w:val="both"/>
        <w:rPr>
          <w:rFonts w:ascii="Times New Roman" w:hAnsi="Times New Roman"/>
          <w:b w:val="0"/>
          <w:i w:val="0"/>
          <w:sz w:val="20"/>
        </w:rPr>
      </w:pPr>
      <w:r w:rsidRPr="00CA4F1E">
        <w:rPr>
          <w:rFonts w:ascii="Times New Roman" w:hAnsi="Times New Roman"/>
          <w:b w:val="0"/>
          <w:i w:val="0"/>
          <w:sz w:val="20"/>
        </w:rPr>
        <w:t xml:space="preserve">The main appeal of convex regression is that it draws its power from standard axioms of economic theory such as monotonicity and </w:t>
      </w:r>
      <w:proofErr w:type="gramStart"/>
      <w:r w:rsidRPr="00CA4F1E">
        <w:rPr>
          <w:rFonts w:ascii="Times New Roman" w:hAnsi="Times New Roman"/>
          <w:b w:val="0"/>
          <w:i w:val="0"/>
          <w:sz w:val="20"/>
        </w:rPr>
        <w:t>convexity, and</w:t>
      </w:r>
      <w:proofErr w:type="gramEnd"/>
      <w:r w:rsidRPr="00CA4F1E">
        <w:rPr>
          <w:rFonts w:ascii="Times New Roman" w:hAnsi="Times New Roman"/>
          <w:b w:val="0"/>
          <w:i w:val="0"/>
          <w:sz w:val="20"/>
        </w:rPr>
        <w:t xml:space="preserve"> does not depend on any arbitrary functional form assumptions. The key advantage of using quantiles is that impacts of inefficiency, stochastic noise, and heteroscedasticity in empirical data </w:t>
      </w:r>
      <w:r w:rsidRPr="00CA4F1E">
        <w:rPr>
          <w:rFonts w:ascii="Times New Roman" w:hAnsi="Times New Roman"/>
          <w:b w:val="0"/>
          <w:i w:val="0"/>
          <w:sz w:val="20"/>
        </w:rPr>
        <w:lastRenderedPageBreak/>
        <w:t xml:space="preserve">are explicitly </w:t>
      </w:r>
      <w:proofErr w:type="spellStart"/>
      <w:r w:rsidRPr="00CA4F1E">
        <w:rPr>
          <w:rFonts w:ascii="Times New Roman" w:hAnsi="Times New Roman"/>
          <w:b w:val="0"/>
          <w:i w:val="0"/>
          <w:sz w:val="20"/>
        </w:rPr>
        <w:t>modeled</w:t>
      </w:r>
      <w:proofErr w:type="spellEnd"/>
      <w:r w:rsidRPr="00CA4F1E">
        <w:rPr>
          <w:rFonts w:ascii="Times New Roman" w:hAnsi="Times New Roman"/>
          <w:b w:val="0"/>
          <w:i w:val="0"/>
          <w:sz w:val="20"/>
        </w:rPr>
        <w:t xml:space="preserve"> without any restrictive prior assumptions (Kuosmanen and Zhou, 2018). Further, our estimation of marginal abatement cost </w:t>
      </w:r>
      <w:proofErr w:type="gramStart"/>
      <w:r w:rsidRPr="00CA4F1E">
        <w:rPr>
          <w:rFonts w:ascii="Times New Roman" w:hAnsi="Times New Roman"/>
          <w:b w:val="0"/>
          <w:i w:val="0"/>
          <w:sz w:val="20"/>
        </w:rPr>
        <w:t>takes into account</w:t>
      </w:r>
      <w:proofErr w:type="gramEnd"/>
      <w:r w:rsidRPr="00CA4F1E">
        <w:rPr>
          <w:rFonts w:ascii="Times New Roman" w:hAnsi="Times New Roman"/>
          <w:b w:val="0"/>
          <w:i w:val="0"/>
          <w:sz w:val="20"/>
        </w:rPr>
        <w:t xml:space="preserve"> a broader set of abatement options than most previous studies.</w:t>
      </w:r>
    </w:p>
    <w:p w14:paraId="2D5439D9" w14:textId="77777777" w:rsidR="00DC69F1" w:rsidRPr="00D767DA" w:rsidRDefault="00DC69F1" w:rsidP="00DC69F1">
      <w:pPr>
        <w:pStyle w:val="Heading2"/>
        <w:rPr>
          <w:i w:val="0"/>
          <w:sz w:val="24"/>
          <w:szCs w:val="24"/>
        </w:rPr>
      </w:pPr>
      <w:r w:rsidRPr="00D767DA">
        <w:rPr>
          <w:i w:val="0"/>
          <w:sz w:val="24"/>
          <w:szCs w:val="24"/>
        </w:rPr>
        <w:t>Results</w:t>
      </w:r>
    </w:p>
    <w:p w14:paraId="4FD13F63" w14:textId="7E3FB10B" w:rsidR="00CA4F1E" w:rsidRPr="00CA4F1E" w:rsidRDefault="00CA4F1E" w:rsidP="00CA4F1E">
      <w:pPr>
        <w:widowControl w:val="0"/>
        <w:suppressAutoHyphens/>
        <w:jc w:val="both"/>
      </w:pPr>
      <w:r w:rsidRPr="00CA4F1E">
        <w:t xml:space="preserve">Table </w:t>
      </w:r>
      <w:r>
        <w:t>1</w:t>
      </w:r>
      <w:r w:rsidRPr="00CA4F1E">
        <w:t xml:space="preserve"> reports the main results of this paper: the average yearly abatement cost per capita for the sample of OECD countries during the period 1990-2015. </w:t>
      </w:r>
      <w:r>
        <w:t>C</w:t>
      </w:r>
      <w:r w:rsidRPr="00CA4F1E">
        <w:t xml:space="preserve">ountries are classified in four </w:t>
      </w:r>
      <w:proofErr w:type="gramStart"/>
      <w:r w:rsidRPr="00CA4F1E">
        <w:t>groups, and</w:t>
      </w:r>
      <w:proofErr w:type="gramEnd"/>
      <w:r w:rsidRPr="00CA4F1E">
        <w:t xml:space="preserve"> sorted within each group according to the abatement cost per capita from largest to smallest. Positive values reflect the magnitude of economic burden due to reduction of GHG emissions, whereas negative values can be interpreted as the economic benefit derived from increase in GHG emissions relative to the 1990 level, the benchmark year in the Kyoto Protocol. </w:t>
      </w:r>
    </w:p>
    <w:p w14:paraId="29798FE2" w14:textId="77777777" w:rsidR="00CA4F1E" w:rsidRPr="00CA4F1E" w:rsidRDefault="00CA4F1E" w:rsidP="00CA4F1E">
      <w:pPr>
        <w:widowControl w:val="0"/>
        <w:suppressAutoHyphens/>
      </w:pPr>
    </w:p>
    <w:p w14:paraId="37919F8D" w14:textId="3A1BC3DF" w:rsidR="00CA4F1E" w:rsidRPr="00CA4F1E" w:rsidRDefault="00CA4F1E" w:rsidP="00CA4F1E">
      <w:pPr>
        <w:widowControl w:val="0"/>
        <w:suppressAutoHyphens/>
        <w:rPr>
          <w:i/>
        </w:rPr>
      </w:pPr>
      <w:r w:rsidRPr="00CA4F1E">
        <w:rPr>
          <w:i/>
        </w:rPr>
        <w:t xml:space="preserve">Table </w:t>
      </w:r>
      <w:r w:rsidRPr="00CA4F1E">
        <w:rPr>
          <w:i/>
        </w:rPr>
        <w:t>1</w:t>
      </w:r>
      <w:r w:rsidRPr="00CA4F1E">
        <w:rPr>
          <w:i/>
        </w:rPr>
        <w:t xml:space="preserve">: Abatement cost per capita per year (€ / person, prices of 2010), average of 1990-2015 </w:t>
      </w:r>
    </w:p>
    <w:tbl>
      <w:tblPr>
        <w:tblW w:w="0" w:type="auto"/>
        <w:tblLook w:val="04A0" w:firstRow="1" w:lastRow="0" w:firstColumn="1" w:lastColumn="0" w:noHBand="0" w:noVBand="1"/>
      </w:tblPr>
      <w:tblGrid>
        <w:gridCol w:w="2235"/>
        <w:gridCol w:w="1000"/>
        <w:gridCol w:w="276"/>
        <w:gridCol w:w="2126"/>
        <w:gridCol w:w="980"/>
      </w:tblGrid>
      <w:tr w:rsidR="00DA714C" w:rsidRPr="00CA4F1E" w14:paraId="2CD6786A" w14:textId="77777777" w:rsidTr="00DA714C">
        <w:trPr>
          <w:trHeight w:val="227"/>
        </w:trPr>
        <w:tc>
          <w:tcPr>
            <w:tcW w:w="2235" w:type="dxa"/>
            <w:tcBorders>
              <w:top w:val="single" w:sz="4" w:space="0" w:color="auto"/>
            </w:tcBorders>
            <w:shd w:val="clear" w:color="auto" w:fill="auto"/>
            <w:noWrap/>
            <w:hideMark/>
          </w:tcPr>
          <w:p w14:paraId="68A2C4E1" w14:textId="77777777" w:rsidR="00CA4F1E" w:rsidRPr="00DA714C" w:rsidRDefault="00CA4F1E" w:rsidP="00DA714C">
            <w:pPr>
              <w:widowControl w:val="0"/>
              <w:suppressAutoHyphens/>
              <w:rPr>
                <w:rFonts w:eastAsia="SimSun"/>
                <w:b/>
                <w:bCs/>
              </w:rPr>
            </w:pPr>
            <w:r w:rsidRPr="00DA714C">
              <w:rPr>
                <w:rFonts w:eastAsia="SimSun"/>
                <w:b/>
              </w:rPr>
              <w:t>EU-15</w:t>
            </w:r>
          </w:p>
        </w:tc>
        <w:tc>
          <w:tcPr>
            <w:tcW w:w="1000" w:type="dxa"/>
            <w:tcBorders>
              <w:top w:val="single" w:sz="4" w:space="0" w:color="auto"/>
            </w:tcBorders>
            <w:shd w:val="clear" w:color="auto" w:fill="auto"/>
            <w:noWrap/>
            <w:hideMark/>
          </w:tcPr>
          <w:p w14:paraId="4767D1B7" w14:textId="77777777" w:rsidR="00CA4F1E" w:rsidRPr="00DA714C" w:rsidRDefault="00CA4F1E" w:rsidP="00DA714C">
            <w:pPr>
              <w:widowControl w:val="0"/>
              <w:suppressAutoHyphens/>
              <w:rPr>
                <w:rFonts w:eastAsia="SimSun"/>
                <w:b/>
                <w:bCs/>
              </w:rPr>
            </w:pPr>
          </w:p>
        </w:tc>
        <w:tc>
          <w:tcPr>
            <w:tcW w:w="276" w:type="dxa"/>
            <w:tcBorders>
              <w:top w:val="single" w:sz="4" w:space="0" w:color="auto"/>
            </w:tcBorders>
            <w:shd w:val="clear" w:color="auto" w:fill="auto"/>
            <w:noWrap/>
            <w:hideMark/>
          </w:tcPr>
          <w:p w14:paraId="74E53B7C" w14:textId="77777777" w:rsidR="00CA4F1E" w:rsidRPr="00DA714C" w:rsidRDefault="00CA4F1E" w:rsidP="00DA714C">
            <w:pPr>
              <w:widowControl w:val="0"/>
              <w:suppressAutoHyphens/>
              <w:rPr>
                <w:rFonts w:eastAsia="SimSun"/>
                <w:b/>
                <w:bCs/>
              </w:rPr>
            </w:pPr>
          </w:p>
        </w:tc>
        <w:tc>
          <w:tcPr>
            <w:tcW w:w="3106" w:type="dxa"/>
            <w:gridSpan w:val="2"/>
            <w:tcBorders>
              <w:top w:val="single" w:sz="4" w:space="0" w:color="auto"/>
            </w:tcBorders>
            <w:shd w:val="clear" w:color="auto" w:fill="auto"/>
            <w:noWrap/>
          </w:tcPr>
          <w:p w14:paraId="1927F45E" w14:textId="77777777" w:rsidR="00CA4F1E" w:rsidRPr="00DA714C" w:rsidRDefault="00CA4F1E" w:rsidP="00DA714C">
            <w:pPr>
              <w:widowControl w:val="0"/>
              <w:suppressAutoHyphens/>
              <w:rPr>
                <w:rFonts w:eastAsia="SimSun"/>
              </w:rPr>
            </w:pPr>
            <w:r w:rsidRPr="00DA714C">
              <w:rPr>
                <w:rFonts w:eastAsia="SimSun"/>
                <w:b/>
              </w:rPr>
              <w:t>EU transition economies</w:t>
            </w:r>
          </w:p>
        </w:tc>
      </w:tr>
      <w:tr w:rsidR="00DA714C" w:rsidRPr="00CA4F1E" w14:paraId="75A4B2FB" w14:textId="77777777" w:rsidTr="00DA714C">
        <w:trPr>
          <w:trHeight w:val="227"/>
        </w:trPr>
        <w:tc>
          <w:tcPr>
            <w:tcW w:w="2235" w:type="dxa"/>
            <w:shd w:val="clear" w:color="auto" w:fill="auto"/>
            <w:noWrap/>
            <w:hideMark/>
          </w:tcPr>
          <w:p w14:paraId="3AD6522D" w14:textId="77777777" w:rsidR="00CA4F1E" w:rsidRPr="00DA714C" w:rsidRDefault="00CA4F1E" w:rsidP="00DA714C">
            <w:pPr>
              <w:widowControl w:val="0"/>
              <w:suppressAutoHyphens/>
              <w:rPr>
                <w:rFonts w:eastAsia="SimSun"/>
              </w:rPr>
            </w:pPr>
            <w:r w:rsidRPr="00DA714C">
              <w:rPr>
                <w:rFonts w:eastAsia="SimSun"/>
              </w:rPr>
              <w:t>Luxembourg</w:t>
            </w:r>
          </w:p>
        </w:tc>
        <w:tc>
          <w:tcPr>
            <w:tcW w:w="1000" w:type="dxa"/>
            <w:shd w:val="clear" w:color="auto" w:fill="auto"/>
            <w:noWrap/>
            <w:hideMark/>
          </w:tcPr>
          <w:p w14:paraId="4B1B4FC1" w14:textId="77777777" w:rsidR="00CA4F1E" w:rsidRPr="00DA714C" w:rsidRDefault="00CA4F1E" w:rsidP="00DA714C">
            <w:pPr>
              <w:widowControl w:val="0"/>
              <w:suppressAutoHyphens/>
              <w:rPr>
                <w:rFonts w:eastAsia="SimSun"/>
              </w:rPr>
            </w:pPr>
            <w:r w:rsidRPr="00DA714C">
              <w:rPr>
                <w:rFonts w:eastAsia="SimSun"/>
              </w:rPr>
              <w:t>112</w:t>
            </w:r>
          </w:p>
        </w:tc>
        <w:tc>
          <w:tcPr>
            <w:tcW w:w="276" w:type="dxa"/>
            <w:shd w:val="clear" w:color="auto" w:fill="auto"/>
            <w:noWrap/>
            <w:hideMark/>
          </w:tcPr>
          <w:p w14:paraId="71CF7CEC" w14:textId="77777777" w:rsidR="00CA4F1E" w:rsidRPr="00DA714C" w:rsidRDefault="00CA4F1E" w:rsidP="00DA714C">
            <w:pPr>
              <w:widowControl w:val="0"/>
              <w:suppressAutoHyphens/>
              <w:rPr>
                <w:rFonts w:eastAsia="SimSun"/>
              </w:rPr>
            </w:pPr>
          </w:p>
        </w:tc>
        <w:tc>
          <w:tcPr>
            <w:tcW w:w="2126" w:type="dxa"/>
            <w:shd w:val="clear" w:color="auto" w:fill="auto"/>
            <w:noWrap/>
          </w:tcPr>
          <w:p w14:paraId="3FF85375" w14:textId="77777777" w:rsidR="00CA4F1E" w:rsidRPr="00DA714C" w:rsidRDefault="00CA4F1E" w:rsidP="00DA714C">
            <w:pPr>
              <w:widowControl w:val="0"/>
              <w:suppressAutoHyphens/>
              <w:rPr>
                <w:rFonts w:eastAsia="SimSun"/>
              </w:rPr>
            </w:pPr>
            <w:r w:rsidRPr="00DA714C">
              <w:rPr>
                <w:rFonts w:eastAsia="SimSun"/>
              </w:rPr>
              <w:t>Czech Republic</w:t>
            </w:r>
          </w:p>
        </w:tc>
        <w:tc>
          <w:tcPr>
            <w:tcW w:w="980" w:type="dxa"/>
            <w:shd w:val="clear" w:color="auto" w:fill="auto"/>
            <w:noWrap/>
          </w:tcPr>
          <w:p w14:paraId="34A694BC" w14:textId="77777777" w:rsidR="00CA4F1E" w:rsidRPr="00DA714C" w:rsidRDefault="00CA4F1E" w:rsidP="00DA714C">
            <w:pPr>
              <w:widowControl w:val="0"/>
              <w:suppressAutoHyphens/>
              <w:rPr>
                <w:rFonts w:eastAsia="SimSun"/>
              </w:rPr>
            </w:pPr>
            <w:r w:rsidRPr="00DA714C">
              <w:rPr>
                <w:rFonts w:eastAsia="SimSun"/>
              </w:rPr>
              <w:t>30</w:t>
            </w:r>
          </w:p>
        </w:tc>
      </w:tr>
      <w:tr w:rsidR="00DA714C" w:rsidRPr="00CA4F1E" w14:paraId="6BEB1D4E" w14:textId="77777777" w:rsidTr="00DA714C">
        <w:trPr>
          <w:trHeight w:val="227"/>
        </w:trPr>
        <w:tc>
          <w:tcPr>
            <w:tcW w:w="2235" w:type="dxa"/>
            <w:shd w:val="clear" w:color="auto" w:fill="auto"/>
            <w:noWrap/>
            <w:hideMark/>
          </w:tcPr>
          <w:p w14:paraId="4A733A59" w14:textId="77777777" w:rsidR="00CA4F1E" w:rsidRPr="00DA714C" w:rsidRDefault="00CA4F1E" w:rsidP="00DA714C">
            <w:pPr>
              <w:widowControl w:val="0"/>
              <w:suppressAutoHyphens/>
              <w:rPr>
                <w:rFonts w:eastAsia="SimSun"/>
              </w:rPr>
            </w:pPr>
            <w:r w:rsidRPr="00DA714C">
              <w:rPr>
                <w:rFonts w:eastAsia="SimSun"/>
              </w:rPr>
              <w:t>United Kingdom</w:t>
            </w:r>
          </w:p>
        </w:tc>
        <w:tc>
          <w:tcPr>
            <w:tcW w:w="1000" w:type="dxa"/>
            <w:shd w:val="clear" w:color="auto" w:fill="auto"/>
            <w:noWrap/>
            <w:hideMark/>
          </w:tcPr>
          <w:p w14:paraId="41924937" w14:textId="77777777" w:rsidR="00CA4F1E" w:rsidRPr="00DA714C" w:rsidRDefault="00CA4F1E" w:rsidP="00DA714C">
            <w:pPr>
              <w:widowControl w:val="0"/>
              <w:suppressAutoHyphens/>
              <w:rPr>
                <w:rFonts w:eastAsia="SimSun"/>
              </w:rPr>
            </w:pPr>
            <w:r w:rsidRPr="00DA714C">
              <w:rPr>
                <w:rFonts w:eastAsia="SimSun"/>
              </w:rPr>
              <w:t>83</w:t>
            </w:r>
          </w:p>
        </w:tc>
        <w:tc>
          <w:tcPr>
            <w:tcW w:w="276" w:type="dxa"/>
            <w:shd w:val="clear" w:color="auto" w:fill="auto"/>
            <w:noWrap/>
            <w:hideMark/>
          </w:tcPr>
          <w:p w14:paraId="240F9780" w14:textId="77777777" w:rsidR="00CA4F1E" w:rsidRPr="00DA714C" w:rsidRDefault="00CA4F1E" w:rsidP="00DA714C">
            <w:pPr>
              <w:widowControl w:val="0"/>
              <w:suppressAutoHyphens/>
              <w:rPr>
                <w:rFonts w:eastAsia="SimSun"/>
              </w:rPr>
            </w:pPr>
          </w:p>
        </w:tc>
        <w:tc>
          <w:tcPr>
            <w:tcW w:w="2126" w:type="dxa"/>
            <w:shd w:val="clear" w:color="auto" w:fill="auto"/>
            <w:noWrap/>
          </w:tcPr>
          <w:p w14:paraId="0533DF26" w14:textId="77777777" w:rsidR="00CA4F1E" w:rsidRPr="00DA714C" w:rsidRDefault="00CA4F1E" w:rsidP="00DA714C">
            <w:pPr>
              <w:widowControl w:val="0"/>
              <w:suppressAutoHyphens/>
              <w:rPr>
                <w:rFonts w:eastAsia="SimSun"/>
              </w:rPr>
            </w:pPr>
            <w:r w:rsidRPr="00DA714C">
              <w:rPr>
                <w:rFonts w:eastAsia="SimSun"/>
              </w:rPr>
              <w:t>Slovak Republic</w:t>
            </w:r>
          </w:p>
        </w:tc>
        <w:tc>
          <w:tcPr>
            <w:tcW w:w="980" w:type="dxa"/>
            <w:shd w:val="clear" w:color="auto" w:fill="auto"/>
            <w:noWrap/>
          </w:tcPr>
          <w:p w14:paraId="32045985" w14:textId="77777777" w:rsidR="00CA4F1E" w:rsidRPr="00DA714C" w:rsidRDefault="00CA4F1E" w:rsidP="00DA714C">
            <w:pPr>
              <w:widowControl w:val="0"/>
              <w:suppressAutoHyphens/>
              <w:rPr>
                <w:rFonts w:eastAsia="SimSun"/>
              </w:rPr>
            </w:pPr>
            <w:r w:rsidRPr="00DA714C">
              <w:rPr>
                <w:rFonts w:eastAsia="SimSun"/>
              </w:rPr>
              <w:t>15</w:t>
            </w:r>
          </w:p>
        </w:tc>
      </w:tr>
      <w:tr w:rsidR="00DA714C" w:rsidRPr="00CA4F1E" w14:paraId="396AE176" w14:textId="77777777" w:rsidTr="00DA714C">
        <w:trPr>
          <w:trHeight w:val="227"/>
        </w:trPr>
        <w:tc>
          <w:tcPr>
            <w:tcW w:w="2235" w:type="dxa"/>
            <w:shd w:val="clear" w:color="auto" w:fill="auto"/>
            <w:noWrap/>
            <w:hideMark/>
          </w:tcPr>
          <w:p w14:paraId="35D018F2" w14:textId="77777777" w:rsidR="00CA4F1E" w:rsidRPr="00DA714C" w:rsidRDefault="00CA4F1E" w:rsidP="00DA714C">
            <w:pPr>
              <w:widowControl w:val="0"/>
              <w:suppressAutoHyphens/>
              <w:rPr>
                <w:rFonts w:eastAsia="SimSun"/>
              </w:rPr>
            </w:pPr>
            <w:r w:rsidRPr="00DA714C">
              <w:rPr>
                <w:rFonts w:eastAsia="SimSun"/>
              </w:rPr>
              <w:t>Denmark</w:t>
            </w:r>
          </w:p>
        </w:tc>
        <w:tc>
          <w:tcPr>
            <w:tcW w:w="1000" w:type="dxa"/>
            <w:shd w:val="clear" w:color="auto" w:fill="auto"/>
            <w:noWrap/>
            <w:hideMark/>
          </w:tcPr>
          <w:p w14:paraId="0B59CD11" w14:textId="77777777" w:rsidR="00CA4F1E" w:rsidRPr="00DA714C" w:rsidRDefault="00CA4F1E" w:rsidP="00DA714C">
            <w:pPr>
              <w:widowControl w:val="0"/>
              <w:suppressAutoHyphens/>
              <w:rPr>
                <w:rFonts w:eastAsia="SimSun"/>
              </w:rPr>
            </w:pPr>
            <w:r w:rsidRPr="00DA714C">
              <w:rPr>
                <w:rFonts w:eastAsia="SimSun"/>
              </w:rPr>
              <w:t>67</w:t>
            </w:r>
          </w:p>
        </w:tc>
        <w:tc>
          <w:tcPr>
            <w:tcW w:w="276" w:type="dxa"/>
            <w:shd w:val="clear" w:color="auto" w:fill="auto"/>
            <w:noWrap/>
            <w:hideMark/>
          </w:tcPr>
          <w:p w14:paraId="0F1CADCA" w14:textId="77777777" w:rsidR="00CA4F1E" w:rsidRPr="00DA714C" w:rsidRDefault="00CA4F1E" w:rsidP="00DA714C">
            <w:pPr>
              <w:widowControl w:val="0"/>
              <w:suppressAutoHyphens/>
              <w:rPr>
                <w:rFonts w:eastAsia="SimSun"/>
              </w:rPr>
            </w:pPr>
          </w:p>
        </w:tc>
        <w:tc>
          <w:tcPr>
            <w:tcW w:w="2126" w:type="dxa"/>
            <w:shd w:val="clear" w:color="auto" w:fill="auto"/>
            <w:noWrap/>
          </w:tcPr>
          <w:p w14:paraId="5A43E317" w14:textId="77777777" w:rsidR="00CA4F1E" w:rsidRPr="00DA714C" w:rsidRDefault="00CA4F1E" w:rsidP="00DA714C">
            <w:pPr>
              <w:widowControl w:val="0"/>
              <w:suppressAutoHyphens/>
              <w:rPr>
                <w:rFonts w:eastAsia="SimSun"/>
              </w:rPr>
            </w:pPr>
            <w:r w:rsidRPr="00DA714C">
              <w:rPr>
                <w:rFonts w:eastAsia="SimSun"/>
              </w:rPr>
              <w:t>Hungary</w:t>
            </w:r>
          </w:p>
        </w:tc>
        <w:tc>
          <w:tcPr>
            <w:tcW w:w="980" w:type="dxa"/>
            <w:shd w:val="clear" w:color="auto" w:fill="auto"/>
            <w:noWrap/>
          </w:tcPr>
          <w:p w14:paraId="796BD8D8" w14:textId="77777777" w:rsidR="00CA4F1E" w:rsidRPr="00DA714C" w:rsidRDefault="00CA4F1E" w:rsidP="00DA714C">
            <w:pPr>
              <w:widowControl w:val="0"/>
              <w:suppressAutoHyphens/>
              <w:rPr>
                <w:rFonts w:eastAsia="SimSun"/>
              </w:rPr>
            </w:pPr>
            <w:r w:rsidRPr="00DA714C">
              <w:rPr>
                <w:rFonts w:eastAsia="SimSun"/>
              </w:rPr>
              <w:t>15</w:t>
            </w:r>
          </w:p>
        </w:tc>
      </w:tr>
      <w:tr w:rsidR="00DA714C" w:rsidRPr="00CA4F1E" w14:paraId="311C1831" w14:textId="77777777" w:rsidTr="00DA714C">
        <w:trPr>
          <w:trHeight w:val="227"/>
        </w:trPr>
        <w:tc>
          <w:tcPr>
            <w:tcW w:w="2235" w:type="dxa"/>
            <w:shd w:val="clear" w:color="auto" w:fill="auto"/>
            <w:noWrap/>
            <w:hideMark/>
          </w:tcPr>
          <w:p w14:paraId="5458439B" w14:textId="77777777" w:rsidR="00CA4F1E" w:rsidRPr="00DA714C" w:rsidRDefault="00CA4F1E" w:rsidP="00DA714C">
            <w:pPr>
              <w:widowControl w:val="0"/>
              <w:suppressAutoHyphens/>
              <w:rPr>
                <w:rFonts w:eastAsia="SimSun"/>
              </w:rPr>
            </w:pPr>
            <w:r w:rsidRPr="00DA714C">
              <w:rPr>
                <w:rFonts w:eastAsia="SimSun"/>
              </w:rPr>
              <w:t>Sweden</w:t>
            </w:r>
          </w:p>
        </w:tc>
        <w:tc>
          <w:tcPr>
            <w:tcW w:w="1000" w:type="dxa"/>
            <w:shd w:val="clear" w:color="auto" w:fill="auto"/>
            <w:noWrap/>
            <w:hideMark/>
          </w:tcPr>
          <w:p w14:paraId="5926860C" w14:textId="77777777" w:rsidR="00CA4F1E" w:rsidRPr="00DA714C" w:rsidRDefault="00CA4F1E" w:rsidP="00DA714C">
            <w:pPr>
              <w:widowControl w:val="0"/>
              <w:suppressAutoHyphens/>
              <w:rPr>
                <w:rFonts w:eastAsia="SimSun"/>
              </w:rPr>
            </w:pPr>
            <w:r w:rsidRPr="00DA714C">
              <w:rPr>
                <w:rFonts w:eastAsia="SimSun"/>
              </w:rPr>
              <w:t>57</w:t>
            </w:r>
          </w:p>
        </w:tc>
        <w:tc>
          <w:tcPr>
            <w:tcW w:w="276" w:type="dxa"/>
            <w:shd w:val="clear" w:color="auto" w:fill="auto"/>
            <w:noWrap/>
            <w:hideMark/>
          </w:tcPr>
          <w:p w14:paraId="35F1540D" w14:textId="77777777" w:rsidR="00CA4F1E" w:rsidRPr="00DA714C" w:rsidRDefault="00CA4F1E" w:rsidP="00DA714C">
            <w:pPr>
              <w:widowControl w:val="0"/>
              <w:suppressAutoHyphens/>
              <w:rPr>
                <w:rFonts w:eastAsia="SimSun"/>
              </w:rPr>
            </w:pPr>
          </w:p>
        </w:tc>
        <w:tc>
          <w:tcPr>
            <w:tcW w:w="2126" w:type="dxa"/>
            <w:shd w:val="clear" w:color="auto" w:fill="auto"/>
            <w:noWrap/>
          </w:tcPr>
          <w:p w14:paraId="06323A76" w14:textId="77777777" w:rsidR="00CA4F1E" w:rsidRPr="00DA714C" w:rsidRDefault="00CA4F1E" w:rsidP="00DA714C">
            <w:pPr>
              <w:widowControl w:val="0"/>
              <w:suppressAutoHyphens/>
              <w:rPr>
                <w:rFonts w:eastAsia="SimSun"/>
              </w:rPr>
            </w:pPr>
            <w:r w:rsidRPr="00DA714C">
              <w:rPr>
                <w:rFonts w:eastAsia="SimSun"/>
              </w:rPr>
              <w:t>Poland</w:t>
            </w:r>
          </w:p>
        </w:tc>
        <w:tc>
          <w:tcPr>
            <w:tcW w:w="980" w:type="dxa"/>
            <w:shd w:val="clear" w:color="auto" w:fill="auto"/>
            <w:noWrap/>
          </w:tcPr>
          <w:p w14:paraId="4FF97C23" w14:textId="77777777" w:rsidR="00CA4F1E" w:rsidRPr="00DA714C" w:rsidRDefault="00CA4F1E" w:rsidP="00DA714C">
            <w:pPr>
              <w:widowControl w:val="0"/>
              <w:suppressAutoHyphens/>
              <w:rPr>
                <w:rFonts w:eastAsia="SimSun"/>
              </w:rPr>
            </w:pPr>
            <w:r w:rsidRPr="00DA714C">
              <w:rPr>
                <w:rFonts w:eastAsia="SimSun"/>
              </w:rPr>
              <w:t>12</w:t>
            </w:r>
          </w:p>
        </w:tc>
      </w:tr>
      <w:tr w:rsidR="00DA714C" w:rsidRPr="00CA4F1E" w14:paraId="26B1E072" w14:textId="77777777" w:rsidTr="00DA714C">
        <w:trPr>
          <w:trHeight w:val="227"/>
        </w:trPr>
        <w:tc>
          <w:tcPr>
            <w:tcW w:w="2235" w:type="dxa"/>
            <w:shd w:val="clear" w:color="auto" w:fill="auto"/>
            <w:noWrap/>
            <w:hideMark/>
          </w:tcPr>
          <w:p w14:paraId="1DD8E299" w14:textId="77777777" w:rsidR="00CA4F1E" w:rsidRPr="00DA714C" w:rsidRDefault="00CA4F1E" w:rsidP="00DA714C">
            <w:pPr>
              <w:widowControl w:val="0"/>
              <w:suppressAutoHyphens/>
              <w:rPr>
                <w:rFonts w:eastAsia="SimSun"/>
              </w:rPr>
            </w:pPr>
            <w:r w:rsidRPr="00DA714C">
              <w:rPr>
                <w:rFonts w:eastAsia="SimSun"/>
              </w:rPr>
              <w:t>Germany</w:t>
            </w:r>
          </w:p>
        </w:tc>
        <w:tc>
          <w:tcPr>
            <w:tcW w:w="1000" w:type="dxa"/>
            <w:shd w:val="clear" w:color="auto" w:fill="auto"/>
            <w:noWrap/>
            <w:hideMark/>
          </w:tcPr>
          <w:p w14:paraId="2479D669" w14:textId="77777777" w:rsidR="00CA4F1E" w:rsidRPr="00DA714C" w:rsidRDefault="00CA4F1E" w:rsidP="00DA714C">
            <w:pPr>
              <w:widowControl w:val="0"/>
              <w:suppressAutoHyphens/>
              <w:rPr>
                <w:rFonts w:eastAsia="SimSun"/>
              </w:rPr>
            </w:pPr>
            <w:r w:rsidRPr="00DA714C">
              <w:rPr>
                <w:rFonts w:eastAsia="SimSun"/>
              </w:rPr>
              <w:t>48</w:t>
            </w:r>
          </w:p>
        </w:tc>
        <w:tc>
          <w:tcPr>
            <w:tcW w:w="276" w:type="dxa"/>
            <w:shd w:val="clear" w:color="auto" w:fill="auto"/>
            <w:noWrap/>
            <w:hideMark/>
          </w:tcPr>
          <w:p w14:paraId="712330EA" w14:textId="77777777" w:rsidR="00CA4F1E" w:rsidRPr="00DA714C" w:rsidRDefault="00CA4F1E" w:rsidP="00DA714C">
            <w:pPr>
              <w:widowControl w:val="0"/>
              <w:suppressAutoHyphens/>
              <w:rPr>
                <w:rFonts w:eastAsia="SimSun"/>
              </w:rPr>
            </w:pPr>
          </w:p>
        </w:tc>
        <w:tc>
          <w:tcPr>
            <w:tcW w:w="2126" w:type="dxa"/>
            <w:shd w:val="clear" w:color="auto" w:fill="auto"/>
            <w:noWrap/>
          </w:tcPr>
          <w:p w14:paraId="6E1878BE" w14:textId="77777777" w:rsidR="00CA4F1E" w:rsidRPr="00DA714C" w:rsidRDefault="00CA4F1E" w:rsidP="00DA714C">
            <w:pPr>
              <w:widowControl w:val="0"/>
              <w:suppressAutoHyphens/>
              <w:rPr>
                <w:rFonts w:eastAsia="SimSun"/>
              </w:rPr>
            </w:pPr>
            <w:r w:rsidRPr="00DA714C">
              <w:rPr>
                <w:rFonts w:eastAsia="SimSun"/>
              </w:rPr>
              <w:t>Slovenia</w:t>
            </w:r>
          </w:p>
        </w:tc>
        <w:tc>
          <w:tcPr>
            <w:tcW w:w="980" w:type="dxa"/>
            <w:shd w:val="clear" w:color="auto" w:fill="auto"/>
            <w:noWrap/>
          </w:tcPr>
          <w:p w14:paraId="3BDCF50E" w14:textId="77777777" w:rsidR="00CA4F1E" w:rsidRPr="00DA714C" w:rsidRDefault="00CA4F1E" w:rsidP="00DA714C">
            <w:pPr>
              <w:widowControl w:val="0"/>
              <w:suppressAutoHyphens/>
              <w:rPr>
                <w:rFonts w:eastAsia="SimSun"/>
              </w:rPr>
            </w:pPr>
            <w:r w:rsidRPr="00DA714C">
              <w:rPr>
                <w:rFonts w:eastAsia="SimSun"/>
              </w:rPr>
              <w:t>11</w:t>
            </w:r>
          </w:p>
        </w:tc>
      </w:tr>
      <w:tr w:rsidR="00DA714C" w:rsidRPr="00CA4F1E" w14:paraId="1E75221B" w14:textId="77777777" w:rsidTr="00DA714C">
        <w:trPr>
          <w:trHeight w:val="227"/>
        </w:trPr>
        <w:tc>
          <w:tcPr>
            <w:tcW w:w="2235" w:type="dxa"/>
            <w:shd w:val="clear" w:color="auto" w:fill="auto"/>
            <w:noWrap/>
            <w:hideMark/>
          </w:tcPr>
          <w:p w14:paraId="10FC3E66" w14:textId="77777777" w:rsidR="00CA4F1E" w:rsidRPr="00DA714C" w:rsidRDefault="00CA4F1E" w:rsidP="00DA714C">
            <w:pPr>
              <w:widowControl w:val="0"/>
              <w:suppressAutoHyphens/>
              <w:rPr>
                <w:rFonts w:eastAsia="SimSun"/>
              </w:rPr>
            </w:pPr>
            <w:r w:rsidRPr="00DA714C">
              <w:rPr>
                <w:rFonts w:eastAsia="SimSun"/>
              </w:rPr>
              <w:t>Finland</w:t>
            </w:r>
          </w:p>
        </w:tc>
        <w:tc>
          <w:tcPr>
            <w:tcW w:w="1000" w:type="dxa"/>
            <w:shd w:val="clear" w:color="auto" w:fill="auto"/>
            <w:noWrap/>
            <w:hideMark/>
          </w:tcPr>
          <w:p w14:paraId="37F27F62" w14:textId="77777777" w:rsidR="00CA4F1E" w:rsidRPr="00DA714C" w:rsidRDefault="00CA4F1E" w:rsidP="00DA714C">
            <w:pPr>
              <w:widowControl w:val="0"/>
              <w:suppressAutoHyphens/>
              <w:rPr>
                <w:rFonts w:eastAsia="SimSun"/>
              </w:rPr>
            </w:pPr>
            <w:r w:rsidRPr="00DA714C">
              <w:rPr>
                <w:rFonts w:eastAsia="SimSun"/>
              </w:rPr>
              <w:t>48</w:t>
            </w:r>
          </w:p>
        </w:tc>
        <w:tc>
          <w:tcPr>
            <w:tcW w:w="276" w:type="dxa"/>
            <w:shd w:val="clear" w:color="auto" w:fill="auto"/>
            <w:noWrap/>
            <w:hideMark/>
          </w:tcPr>
          <w:p w14:paraId="6D0DB282" w14:textId="77777777" w:rsidR="00CA4F1E" w:rsidRPr="00DA714C" w:rsidRDefault="00CA4F1E" w:rsidP="00DA714C">
            <w:pPr>
              <w:widowControl w:val="0"/>
              <w:suppressAutoHyphens/>
              <w:rPr>
                <w:rFonts w:eastAsia="SimSun"/>
              </w:rPr>
            </w:pPr>
          </w:p>
        </w:tc>
        <w:tc>
          <w:tcPr>
            <w:tcW w:w="2126" w:type="dxa"/>
            <w:shd w:val="clear" w:color="auto" w:fill="auto"/>
            <w:noWrap/>
          </w:tcPr>
          <w:p w14:paraId="4186123F" w14:textId="77777777" w:rsidR="00CA4F1E" w:rsidRPr="00DA714C" w:rsidRDefault="00CA4F1E" w:rsidP="00DA714C">
            <w:pPr>
              <w:widowControl w:val="0"/>
              <w:suppressAutoHyphens/>
              <w:rPr>
                <w:rFonts w:eastAsia="SimSun"/>
              </w:rPr>
            </w:pPr>
            <w:r w:rsidRPr="00DA714C">
              <w:rPr>
                <w:rFonts w:eastAsia="SimSun"/>
              </w:rPr>
              <w:t>Estonia</w:t>
            </w:r>
          </w:p>
        </w:tc>
        <w:tc>
          <w:tcPr>
            <w:tcW w:w="980" w:type="dxa"/>
            <w:shd w:val="clear" w:color="auto" w:fill="auto"/>
            <w:noWrap/>
          </w:tcPr>
          <w:p w14:paraId="4F76DFD1" w14:textId="77777777" w:rsidR="00CA4F1E" w:rsidRPr="00DA714C" w:rsidRDefault="00CA4F1E" w:rsidP="00DA714C">
            <w:pPr>
              <w:widowControl w:val="0"/>
              <w:suppressAutoHyphens/>
              <w:rPr>
                <w:rFonts w:eastAsia="SimSun"/>
              </w:rPr>
            </w:pPr>
            <w:r w:rsidRPr="00DA714C">
              <w:rPr>
                <w:rFonts w:eastAsia="SimSun"/>
              </w:rPr>
              <w:t>3</w:t>
            </w:r>
          </w:p>
        </w:tc>
      </w:tr>
      <w:tr w:rsidR="00DA714C" w:rsidRPr="00CA4F1E" w14:paraId="1664FF49" w14:textId="77777777" w:rsidTr="00DA714C">
        <w:trPr>
          <w:trHeight w:val="227"/>
        </w:trPr>
        <w:tc>
          <w:tcPr>
            <w:tcW w:w="2235" w:type="dxa"/>
            <w:shd w:val="clear" w:color="auto" w:fill="auto"/>
            <w:noWrap/>
            <w:hideMark/>
          </w:tcPr>
          <w:p w14:paraId="0EAA1CBC" w14:textId="77777777" w:rsidR="00CA4F1E" w:rsidRPr="00DA714C" w:rsidRDefault="00CA4F1E" w:rsidP="00DA714C">
            <w:pPr>
              <w:widowControl w:val="0"/>
              <w:suppressAutoHyphens/>
              <w:rPr>
                <w:rFonts w:eastAsia="SimSun"/>
              </w:rPr>
            </w:pPr>
            <w:r w:rsidRPr="00DA714C">
              <w:rPr>
                <w:rFonts w:eastAsia="SimSun"/>
              </w:rPr>
              <w:t>Belgium</w:t>
            </w:r>
          </w:p>
        </w:tc>
        <w:tc>
          <w:tcPr>
            <w:tcW w:w="1000" w:type="dxa"/>
            <w:shd w:val="clear" w:color="auto" w:fill="auto"/>
            <w:noWrap/>
            <w:hideMark/>
          </w:tcPr>
          <w:p w14:paraId="2F1D113E" w14:textId="77777777" w:rsidR="00CA4F1E" w:rsidRPr="00DA714C" w:rsidRDefault="00CA4F1E" w:rsidP="00DA714C">
            <w:pPr>
              <w:widowControl w:val="0"/>
              <w:suppressAutoHyphens/>
              <w:rPr>
                <w:rFonts w:eastAsia="SimSun"/>
              </w:rPr>
            </w:pPr>
            <w:r w:rsidRPr="00DA714C">
              <w:rPr>
                <w:rFonts w:eastAsia="SimSun"/>
              </w:rPr>
              <w:t>42</w:t>
            </w:r>
          </w:p>
        </w:tc>
        <w:tc>
          <w:tcPr>
            <w:tcW w:w="276" w:type="dxa"/>
            <w:shd w:val="clear" w:color="auto" w:fill="auto"/>
            <w:noWrap/>
            <w:hideMark/>
          </w:tcPr>
          <w:p w14:paraId="092B532A" w14:textId="77777777" w:rsidR="00CA4F1E" w:rsidRPr="00DA714C" w:rsidRDefault="00CA4F1E" w:rsidP="00DA714C">
            <w:pPr>
              <w:widowControl w:val="0"/>
              <w:suppressAutoHyphens/>
              <w:rPr>
                <w:rFonts w:eastAsia="SimSun"/>
              </w:rPr>
            </w:pPr>
          </w:p>
        </w:tc>
        <w:tc>
          <w:tcPr>
            <w:tcW w:w="2126" w:type="dxa"/>
            <w:shd w:val="clear" w:color="auto" w:fill="auto"/>
            <w:noWrap/>
            <w:hideMark/>
          </w:tcPr>
          <w:p w14:paraId="5E222B5A" w14:textId="77777777" w:rsidR="00CA4F1E" w:rsidRPr="00DA714C" w:rsidRDefault="00CA4F1E" w:rsidP="00DA714C">
            <w:pPr>
              <w:widowControl w:val="0"/>
              <w:suppressAutoHyphens/>
              <w:rPr>
                <w:rFonts w:eastAsia="SimSun"/>
              </w:rPr>
            </w:pPr>
            <w:r w:rsidRPr="00DA714C">
              <w:rPr>
                <w:rFonts w:eastAsia="SimSun"/>
              </w:rPr>
              <w:t>Latvia</w:t>
            </w:r>
          </w:p>
        </w:tc>
        <w:tc>
          <w:tcPr>
            <w:tcW w:w="980" w:type="dxa"/>
            <w:shd w:val="clear" w:color="auto" w:fill="auto"/>
            <w:noWrap/>
            <w:hideMark/>
          </w:tcPr>
          <w:p w14:paraId="5FE60545" w14:textId="77777777" w:rsidR="00CA4F1E" w:rsidRPr="00DA714C" w:rsidRDefault="00CA4F1E" w:rsidP="00DA714C">
            <w:pPr>
              <w:widowControl w:val="0"/>
              <w:suppressAutoHyphens/>
              <w:rPr>
                <w:rFonts w:eastAsia="SimSun"/>
              </w:rPr>
            </w:pPr>
            <w:r w:rsidRPr="00DA714C">
              <w:rPr>
                <w:rFonts w:eastAsia="SimSun"/>
              </w:rPr>
              <w:t>3</w:t>
            </w:r>
          </w:p>
        </w:tc>
      </w:tr>
      <w:tr w:rsidR="00DA714C" w:rsidRPr="00CA4F1E" w14:paraId="13F9F310" w14:textId="77777777" w:rsidTr="00DA714C">
        <w:trPr>
          <w:trHeight w:val="227"/>
        </w:trPr>
        <w:tc>
          <w:tcPr>
            <w:tcW w:w="2235" w:type="dxa"/>
            <w:shd w:val="clear" w:color="auto" w:fill="auto"/>
            <w:noWrap/>
            <w:hideMark/>
          </w:tcPr>
          <w:p w14:paraId="3BA2577B" w14:textId="77777777" w:rsidR="00CA4F1E" w:rsidRPr="00DA714C" w:rsidRDefault="00CA4F1E" w:rsidP="00DA714C">
            <w:pPr>
              <w:widowControl w:val="0"/>
              <w:suppressAutoHyphens/>
              <w:rPr>
                <w:rFonts w:eastAsia="SimSun"/>
              </w:rPr>
            </w:pPr>
            <w:r w:rsidRPr="00DA714C">
              <w:rPr>
                <w:rFonts w:eastAsia="SimSun"/>
              </w:rPr>
              <w:t>Netherlands</w:t>
            </w:r>
          </w:p>
        </w:tc>
        <w:tc>
          <w:tcPr>
            <w:tcW w:w="1000" w:type="dxa"/>
            <w:shd w:val="clear" w:color="auto" w:fill="auto"/>
            <w:noWrap/>
            <w:hideMark/>
          </w:tcPr>
          <w:p w14:paraId="5E02D9DB" w14:textId="77777777" w:rsidR="00CA4F1E" w:rsidRPr="00DA714C" w:rsidRDefault="00CA4F1E" w:rsidP="00DA714C">
            <w:pPr>
              <w:widowControl w:val="0"/>
              <w:suppressAutoHyphens/>
              <w:rPr>
                <w:rFonts w:eastAsia="SimSun"/>
              </w:rPr>
            </w:pPr>
            <w:r w:rsidRPr="00DA714C">
              <w:rPr>
                <w:rFonts w:eastAsia="SimSun"/>
              </w:rPr>
              <w:t>23</w:t>
            </w:r>
          </w:p>
        </w:tc>
        <w:tc>
          <w:tcPr>
            <w:tcW w:w="276" w:type="dxa"/>
            <w:shd w:val="clear" w:color="auto" w:fill="auto"/>
            <w:noWrap/>
            <w:hideMark/>
          </w:tcPr>
          <w:p w14:paraId="2E6C8E09" w14:textId="77777777" w:rsidR="00CA4F1E" w:rsidRPr="00DA714C" w:rsidRDefault="00CA4F1E" w:rsidP="00DA714C">
            <w:pPr>
              <w:widowControl w:val="0"/>
              <w:suppressAutoHyphens/>
              <w:rPr>
                <w:rFonts w:eastAsia="SimSun"/>
              </w:rPr>
            </w:pPr>
          </w:p>
        </w:tc>
        <w:tc>
          <w:tcPr>
            <w:tcW w:w="3106" w:type="dxa"/>
            <w:gridSpan w:val="2"/>
            <w:shd w:val="clear" w:color="auto" w:fill="auto"/>
            <w:noWrap/>
          </w:tcPr>
          <w:p w14:paraId="1591C331" w14:textId="77777777" w:rsidR="00CA4F1E" w:rsidRPr="00DA714C" w:rsidRDefault="00CA4F1E" w:rsidP="00DA714C">
            <w:pPr>
              <w:widowControl w:val="0"/>
              <w:suppressAutoHyphens/>
              <w:rPr>
                <w:rFonts w:eastAsia="SimSun"/>
                <w:b/>
                <w:bCs/>
              </w:rPr>
            </w:pPr>
          </w:p>
        </w:tc>
      </w:tr>
      <w:tr w:rsidR="00DA714C" w:rsidRPr="00CA4F1E" w14:paraId="78E189AA" w14:textId="77777777" w:rsidTr="00DA714C">
        <w:trPr>
          <w:trHeight w:val="227"/>
        </w:trPr>
        <w:tc>
          <w:tcPr>
            <w:tcW w:w="2235" w:type="dxa"/>
            <w:shd w:val="clear" w:color="auto" w:fill="auto"/>
            <w:noWrap/>
            <w:hideMark/>
          </w:tcPr>
          <w:p w14:paraId="76EE727E" w14:textId="77777777" w:rsidR="00CA4F1E" w:rsidRPr="00DA714C" w:rsidRDefault="00CA4F1E" w:rsidP="00DA714C">
            <w:pPr>
              <w:widowControl w:val="0"/>
              <w:suppressAutoHyphens/>
              <w:rPr>
                <w:rFonts w:eastAsia="SimSun"/>
              </w:rPr>
            </w:pPr>
            <w:r w:rsidRPr="00DA714C">
              <w:rPr>
                <w:rFonts w:eastAsia="SimSun"/>
              </w:rPr>
              <w:t>France</w:t>
            </w:r>
          </w:p>
        </w:tc>
        <w:tc>
          <w:tcPr>
            <w:tcW w:w="1000" w:type="dxa"/>
            <w:shd w:val="clear" w:color="auto" w:fill="auto"/>
            <w:noWrap/>
            <w:hideMark/>
          </w:tcPr>
          <w:p w14:paraId="34AB4921" w14:textId="77777777" w:rsidR="00CA4F1E" w:rsidRPr="00DA714C" w:rsidRDefault="00CA4F1E" w:rsidP="00DA714C">
            <w:pPr>
              <w:widowControl w:val="0"/>
              <w:suppressAutoHyphens/>
              <w:rPr>
                <w:rFonts w:eastAsia="SimSun"/>
              </w:rPr>
            </w:pPr>
            <w:r w:rsidRPr="00DA714C">
              <w:rPr>
                <w:rFonts w:eastAsia="SimSun"/>
              </w:rPr>
              <w:t>22</w:t>
            </w:r>
          </w:p>
        </w:tc>
        <w:tc>
          <w:tcPr>
            <w:tcW w:w="276" w:type="dxa"/>
            <w:shd w:val="clear" w:color="auto" w:fill="auto"/>
            <w:noWrap/>
            <w:hideMark/>
          </w:tcPr>
          <w:p w14:paraId="2A214C7C" w14:textId="77777777" w:rsidR="00CA4F1E" w:rsidRPr="00DA714C" w:rsidRDefault="00CA4F1E" w:rsidP="00DA714C">
            <w:pPr>
              <w:widowControl w:val="0"/>
              <w:suppressAutoHyphens/>
              <w:rPr>
                <w:rFonts w:eastAsia="SimSun"/>
              </w:rPr>
            </w:pPr>
          </w:p>
        </w:tc>
        <w:tc>
          <w:tcPr>
            <w:tcW w:w="3106" w:type="dxa"/>
            <w:gridSpan w:val="2"/>
            <w:shd w:val="clear" w:color="auto" w:fill="auto"/>
            <w:noWrap/>
          </w:tcPr>
          <w:p w14:paraId="5A7FEE30" w14:textId="77777777" w:rsidR="00CA4F1E" w:rsidRPr="00DA714C" w:rsidRDefault="00CA4F1E" w:rsidP="00DA714C">
            <w:pPr>
              <w:widowControl w:val="0"/>
              <w:suppressAutoHyphens/>
              <w:rPr>
                <w:rFonts w:eastAsia="SimSun"/>
              </w:rPr>
            </w:pPr>
            <w:r w:rsidRPr="00DA714C">
              <w:rPr>
                <w:rFonts w:eastAsia="SimSun"/>
                <w:b/>
              </w:rPr>
              <w:t>Non-European OECD</w:t>
            </w:r>
          </w:p>
        </w:tc>
      </w:tr>
      <w:tr w:rsidR="00DA714C" w:rsidRPr="00CA4F1E" w14:paraId="5A67686B" w14:textId="77777777" w:rsidTr="00DA714C">
        <w:trPr>
          <w:trHeight w:val="227"/>
        </w:trPr>
        <w:tc>
          <w:tcPr>
            <w:tcW w:w="2235" w:type="dxa"/>
            <w:shd w:val="clear" w:color="auto" w:fill="auto"/>
            <w:noWrap/>
            <w:hideMark/>
          </w:tcPr>
          <w:p w14:paraId="7F6B43FA" w14:textId="77777777" w:rsidR="00CA4F1E" w:rsidRPr="00DA714C" w:rsidRDefault="00CA4F1E" w:rsidP="00DA714C">
            <w:pPr>
              <w:widowControl w:val="0"/>
              <w:suppressAutoHyphens/>
              <w:rPr>
                <w:rFonts w:eastAsia="SimSun"/>
              </w:rPr>
            </w:pPr>
            <w:r w:rsidRPr="00DA714C">
              <w:rPr>
                <w:rFonts w:eastAsia="SimSun"/>
              </w:rPr>
              <w:t>Italy</w:t>
            </w:r>
          </w:p>
        </w:tc>
        <w:tc>
          <w:tcPr>
            <w:tcW w:w="1000" w:type="dxa"/>
            <w:shd w:val="clear" w:color="auto" w:fill="auto"/>
            <w:noWrap/>
            <w:hideMark/>
          </w:tcPr>
          <w:p w14:paraId="511BCC86" w14:textId="77777777" w:rsidR="00CA4F1E" w:rsidRPr="00DA714C" w:rsidRDefault="00CA4F1E" w:rsidP="00DA714C">
            <w:pPr>
              <w:widowControl w:val="0"/>
              <w:suppressAutoHyphens/>
              <w:rPr>
                <w:rFonts w:eastAsia="SimSun"/>
              </w:rPr>
            </w:pPr>
            <w:r w:rsidRPr="00DA714C">
              <w:rPr>
                <w:rFonts w:eastAsia="SimSun"/>
              </w:rPr>
              <w:t>14</w:t>
            </w:r>
          </w:p>
        </w:tc>
        <w:tc>
          <w:tcPr>
            <w:tcW w:w="276" w:type="dxa"/>
            <w:shd w:val="clear" w:color="auto" w:fill="auto"/>
            <w:noWrap/>
            <w:hideMark/>
          </w:tcPr>
          <w:p w14:paraId="32821084" w14:textId="77777777" w:rsidR="00CA4F1E" w:rsidRPr="00DA714C" w:rsidRDefault="00CA4F1E" w:rsidP="00DA714C">
            <w:pPr>
              <w:widowControl w:val="0"/>
              <w:suppressAutoHyphens/>
              <w:rPr>
                <w:rFonts w:eastAsia="SimSun"/>
              </w:rPr>
            </w:pPr>
          </w:p>
        </w:tc>
        <w:tc>
          <w:tcPr>
            <w:tcW w:w="2126" w:type="dxa"/>
            <w:shd w:val="clear" w:color="auto" w:fill="auto"/>
            <w:noWrap/>
          </w:tcPr>
          <w:p w14:paraId="42C057A4" w14:textId="77777777" w:rsidR="00CA4F1E" w:rsidRPr="00DA714C" w:rsidRDefault="00CA4F1E" w:rsidP="00DA714C">
            <w:pPr>
              <w:widowControl w:val="0"/>
              <w:suppressAutoHyphens/>
              <w:rPr>
                <w:rFonts w:eastAsia="SimSun"/>
              </w:rPr>
            </w:pPr>
            <w:r w:rsidRPr="00DA714C">
              <w:rPr>
                <w:rFonts w:eastAsia="SimSun"/>
              </w:rPr>
              <w:t>United States</w:t>
            </w:r>
          </w:p>
        </w:tc>
        <w:tc>
          <w:tcPr>
            <w:tcW w:w="980" w:type="dxa"/>
            <w:shd w:val="clear" w:color="auto" w:fill="auto"/>
            <w:noWrap/>
          </w:tcPr>
          <w:p w14:paraId="67EF178D" w14:textId="77777777" w:rsidR="00CA4F1E" w:rsidRPr="00DA714C" w:rsidRDefault="00CA4F1E" w:rsidP="00DA714C">
            <w:pPr>
              <w:widowControl w:val="0"/>
              <w:suppressAutoHyphens/>
              <w:rPr>
                <w:rFonts w:eastAsia="SimSun"/>
              </w:rPr>
            </w:pPr>
            <w:r w:rsidRPr="00DA714C">
              <w:rPr>
                <w:rFonts w:eastAsia="SimSun"/>
              </w:rPr>
              <w:t>-9</w:t>
            </w:r>
          </w:p>
        </w:tc>
      </w:tr>
      <w:tr w:rsidR="00DA714C" w:rsidRPr="00CA4F1E" w14:paraId="370355A7" w14:textId="77777777" w:rsidTr="00DA714C">
        <w:trPr>
          <w:trHeight w:val="227"/>
        </w:trPr>
        <w:tc>
          <w:tcPr>
            <w:tcW w:w="2235" w:type="dxa"/>
            <w:shd w:val="clear" w:color="auto" w:fill="auto"/>
            <w:noWrap/>
            <w:hideMark/>
          </w:tcPr>
          <w:p w14:paraId="4C1DB5CD" w14:textId="77777777" w:rsidR="00CA4F1E" w:rsidRPr="00DA714C" w:rsidRDefault="00CA4F1E" w:rsidP="00DA714C">
            <w:pPr>
              <w:widowControl w:val="0"/>
              <w:suppressAutoHyphens/>
              <w:rPr>
                <w:rFonts w:eastAsia="SimSun"/>
              </w:rPr>
            </w:pPr>
            <w:r w:rsidRPr="00DA714C">
              <w:rPr>
                <w:rFonts w:eastAsia="SimSun"/>
              </w:rPr>
              <w:t>Austria</w:t>
            </w:r>
          </w:p>
        </w:tc>
        <w:tc>
          <w:tcPr>
            <w:tcW w:w="1000" w:type="dxa"/>
            <w:shd w:val="clear" w:color="auto" w:fill="auto"/>
            <w:noWrap/>
            <w:hideMark/>
          </w:tcPr>
          <w:p w14:paraId="2AD446A7" w14:textId="77777777" w:rsidR="00CA4F1E" w:rsidRPr="00DA714C" w:rsidRDefault="00CA4F1E" w:rsidP="00DA714C">
            <w:pPr>
              <w:widowControl w:val="0"/>
              <w:suppressAutoHyphens/>
              <w:rPr>
                <w:rFonts w:eastAsia="SimSun"/>
              </w:rPr>
            </w:pPr>
            <w:r w:rsidRPr="00DA714C">
              <w:rPr>
                <w:rFonts w:eastAsia="SimSun"/>
              </w:rPr>
              <w:t>2</w:t>
            </w:r>
          </w:p>
        </w:tc>
        <w:tc>
          <w:tcPr>
            <w:tcW w:w="276" w:type="dxa"/>
            <w:shd w:val="clear" w:color="auto" w:fill="auto"/>
            <w:noWrap/>
            <w:hideMark/>
          </w:tcPr>
          <w:p w14:paraId="2CA72B98" w14:textId="77777777" w:rsidR="00CA4F1E" w:rsidRPr="00DA714C" w:rsidRDefault="00CA4F1E" w:rsidP="00DA714C">
            <w:pPr>
              <w:widowControl w:val="0"/>
              <w:suppressAutoHyphens/>
              <w:rPr>
                <w:rFonts w:eastAsia="SimSun"/>
              </w:rPr>
            </w:pPr>
          </w:p>
        </w:tc>
        <w:tc>
          <w:tcPr>
            <w:tcW w:w="2126" w:type="dxa"/>
            <w:shd w:val="clear" w:color="auto" w:fill="auto"/>
            <w:noWrap/>
          </w:tcPr>
          <w:p w14:paraId="24401F2B" w14:textId="77777777" w:rsidR="00CA4F1E" w:rsidRPr="00DA714C" w:rsidRDefault="00CA4F1E" w:rsidP="00DA714C">
            <w:pPr>
              <w:widowControl w:val="0"/>
              <w:suppressAutoHyphens/>
              <w:rPr>
                <w:rFonts w:eastAsia="SimSun"/>
              </w:rPr>
            </w:pPr>
            <w:r w:rsidRPr="00DA714C">
              <w:rPr>
                <w:rFonts w:eastAsia="SimSun"/>
              </w:rPr>
              <w:t>Israel</w:t>
            </w:r>
          </w:p>
        </w:tc>
        <w:tc>
          <w:tcPr>
            <w:tcW w:w="980" w:type="dxa"/>
            <w:shd w:val="clear" w:color="auto" w:fill="auto"/>
            <w:noWrap/>
          </w:tcPr>
          <w:p w14:paraId="4AF869E5" w14:textId="77777777" w:rsidR="00CA4F1E" w:rsidRPr="00DA714C" w:rsidRDefault="00CA4F1E" w:rsidP="00DA714C">
            <w:pPr>
              <w:widowControl w:val="0"/>
              <w:suppressAutoHyphens/>
              <w:rPr>
                <w:rFonts w:eastAsia="SimSun"/>
              </w:rPr>
            </w:pPr>
            <w:r w:rsidRPr="00DA714C">
              <w:rPr>
                <w:rFonts w:eastAsia="SimSun"/>
              </w:rPr>
              <w:t>-30</w:t>
            </w:r>
          </w:p>
        </w:tc>
      </w:tr>
      <w:tr w:rsidR="00DA714C" w:rsidRPr="00CA4F1E" w14:paraId="3F68A49D" w14:textId="77777777" w:rsidTr="00DA714C">
        <w:trPr>
          <w:trHeight w:val="227"/>
        </w:trPr>
        <w:tc>
          <w:tcPr>
            <w:tcW w:w="2235" w:type="dxa"/>
            <w:shd w:val="clear" w:color="auto" w:fill="auto"/>
            <w:noWrap/>
            <w:hideMark/>
          </w:tcPr>
          <w:p w14:paraId="15F9AAE2" w14:textId="77777777" w:rsidR="00CA4F1E" w:rsidRPr="00DA714C" w:rsidRDefault="00CA4F1E" w:rsidP="00DA714C">
            <w:pPr>
              <w:widowControl w:val="0"/>
              <w:suppressAutoHyphens/>
              <w:rPr>
                <w:rFonts w:eastAsia="SimSun"/>
              </w:rPr>
            </w:pPr>
            <w:r w:rsidRPr="00DA714C">
              <w:rPr>
                <w:rFonts w:eastAsia="SimSun"/>
              </w:rPr>
              <w:t>Greece</w:t>
            </w:r>
          </w:p>
        </w:tc>
        <w:tc>
          <w:tcPr>
            <w:tcW w:w="1000" w:type="dxa"/>
            <w:shd w:val="clear" w:color="auto" w:fill="auto"/>
            <w:noWrap/>
            <w:hideMark/>
          </w:tcPr>
          <w:p w14:paraId="261D50F5" w14:textId="77777777" w:rsidR="00CA4F1E" w:rsidRPr="00DA714C" w:rsidRDefault="00CA4F1E" w:rsidP="00DA714C">
            <w:pPr>
              <w:widowControl w:val="0"/>
              <w:suppressAutoHyphens/>
              <w:rPr>
                <w:rFonts w:eastAsia="SimSun"/>
              </w:rPr>
            </w:pPr>
            <w:r w:rsidRPr="00DA714C">
              <w:rPr>
                <w:rFonts w:eastAsia="SimSun"/>
              </w:rPr>
              <w:t>-2</w:t>
            </w:r>
          </w:p>
        </w:tc>
        <w:tc>
          <w:tcPr>
            <w:tcW w:w="276" w:type="dxa"/>
            <w:shd w:val="clear" w:color="auto" w:fill="auto"/>
            <w:noWrap/>
            <w:hideMark/>
          </w:tcPr>
          <w:p w14:paraId="4DB78AF7" w14:textId="77777777" w:rsidR="00CA4F1E" w:rsidRPr="00DA714C" w:rsidRDefault="00CA4F1E" w:rsidP="00DA714C">
            <w:pPr>
              <w:widowControl w:val="0"/>
              <w:suppressAutoHyphens/>
              <w:rPr>
                <w:rFonts w:eastAsia="SimSun"/>
              </w:rPr>
            </w:pPr>
          </w:p>
        </w:tc>
        <w:tc>
          <w:tcPr>
            <w:tcW w:w="2126" w:type="dxa"/>
            <w:shd w:val="clear" w:color="auto" w:fill="auto"/>
            <w:noWrap/>
          </w:tcPr>
          <w:p w14:paraId="155AF5E8" w14:textId="77777777" w:rsidR="00CA4F1E" w:rsidRPr="00DA714C" w:rsidRDefault="00CA4F1E" w:rsidP="00DA714C">
            <w:pPr>
              <w:widowControl w:val="0"/>
              <w:suppressAutoHyphens/>
              <w:rPr>
                <w:rFonts w:eastAsia="SimSun"/>
              </w:rPr>
            </w:pPr>
            <w:r w:rsidRPr="00DA714C">
              <w:rPr>
                <w:rFonts w:eastAsia="SimSun"/>
              </w:rPr>
              <w:t>New Zealand</w:t>
            </w:r>
          </w:p>
        </w:tc>
        <w:tc>
          <w:tcPr>
            <w:tcW w:w="980" w:type="dxa"/>
            <w:shd w:val="clear" w:color="auto" w:fill="auto"/>
            <w:noWrap/>
          </w:tcPr>
          <w:p w14:paraId="5D988664" w14:textId="77777777" w:rsidR="00CA4F1E" w:rsidRPr="00DA714C" w:rsidRDefault="00CA4F1E" w:rsidP="00DA714C">
            <w:pPr>
              <w:widowControl w:val="0"/>
              <w:suppressAutoHyphens/>
              <w:rPr>
                <w:rFonts w:eastAsia="SimSun"/>
              </w:rPr>
            </w:pPr>
            <w:r w:rsidRPr="00DA714C">
              <w:rPr>
                <w:rFonts w:eastAsia="SimSun"/>
              </w:rPr>
              <w:t>-48</w:t>
            </w:r>
          </w:p>
        </w:tc>
      </w:tr>
      <w:tr w:rsidR="00DA714C" w:rsidRPr="00CA4F1E" w14:paraId="64DAE353" w14:textId="77777777" w:rsidTr="00DA714C">
        <w:trPr>
          <w:trHeight w:val="227"/>
        </w:trPr>
        <w:tc>
          <w:tcPr>
            <w:tcW w:w="2235" w:type="dxa"/>
            <w:shd w:val="clear" w:color="auto" w:fill="auto"/>
            <w:noWrap/>
            <w:hideMark/>
          </w:tcPr>
          <w:p w14:paraId="2C7FDF4C" w14:textId="77777777" w:rsidR="00CA4F1E" w:rsidRPr="00DA714C" w:rsidRDefault="00CA4F1E" w:rsidP="00DA714C">
            <w:pPr>
              <w:widowControl w:val="0"/>
              <w:suppressAutoHyphens/>
              <w:rPr>
                <w:rFonts w:eastAsia="SimSun"/>
              </w:rPr>
            </w:pPr>
            <w:r w:rsidRPr="00DA714C">
              <w:rPr>
                <w:rFonts w:eastAsia="SimSun"/>
              </w:rPr>
              <w:t>Ireland</w:t>
            </w:r>
          </w:p>
        </w:tc>
        <w:tc>
          <w:tcPr>
            <w:tcW w:w="1000" w:type="dxa"/>
            <w:shd w:val="clear" w:color="auto" w:fill="auto"/>
            <w:noWrap/>
            <w:hideMark/>
          </w:tcPr>
          <w:p w14:paraId="40A62C4B" w14:textId="77777777" w:rsidR="00CA4F1E" w:rsidRPr="00DA714C" w:rsidRDefault="00CA4F1E" w:rsidP="00DA714C">
            <w:pPr>
              <w:widowControl w:val="0"/>
              <w:suppressAutoHyphens/>
              <w:rPr>
                <w:rFonts w:eastAsia="SimSun"/>
              </w:rPr>
            </w:pPr>
            <w:r w:rsidRPr="00DA714C">
              <w:rPr>
                <w:rFonts w:eastAsia="SimSun"/>
              </w:rPr>
              <w:t>-8</w:t>
            </w:r>
          </w:p>
        </w:tc>
        <w:tc>
          <w:tcPr>
            <w:tcW w:w="276" w:type="dxa"/>
            <w:shd w:val="clear" w:color="auto" w:fill="auto"/>
            <w:noWrap/>
            <w:hideMark/>
          </w:tcPr>
          <w:p w14:paraId="41FE103D" w14:textId="77777777" w:rsidR="00CA4F1E" w:rsidRPr="00DA714C" w:rsidRDefault="00CA4F1E" w:rsidP="00DA714C">
            <w:pPr>
              <w:widowControl w:val="0"/>
              <w:suppressAutoHyphens/>
              <w:rPr>
                <w:rFonts w:eastAsia="SimSun"/>
              </w:rPr>
            </w:pPr>
          </w:p>
        </w:tc>
        <w:tc>
          <w:tcPr>
            <w:tcW w:w="2126" w:type="dxa"/>
            <w:shd w:val="clear" w:color="auto" w:fill="auto"/>
            <w:noWrap/>
          </w:tcPr>
          <w:p w14:paraId="4AC1C994" w14:textId="77777777" w:rsidR="00CA4F1E" w:rsidRPr="00DA714C" w:rsidRDefault="00CA4F1E" w:rsidP="00DA714C">
            <w:pPr>
              <w:widowControl w:val="0"/>
              <w:suppressAutoHyphens/>
              <w:rPr>
                <w:rFonts w:eastAsia="SimSun"/>
              </w:rPr>
            </w:pPr>
            <w:r w:rsidRPr="00DA714C">
              <w:rPr>
                <w:rFonts w:eastAsia="SimSun"/>
              </w:rPr>
              <w:t>Canada</w:t>
            </w:r>
          </w:p>
        </w:tc>
        <w:tc>
          <w:tcPr>
            <w:tcW w:w="980" w:type="dxa"/>
            <w:shd w:val="clear" w:color="auto" w:fill="auto"/>
            <w:noWrap/>
          </w:tcPr>
          <w:p w14:paraId="075F0F4E" w14:textId="77777777" w:rsidR="00CA4F1E" w:rsidRPr="00DA714C" w:rsidRDefault="00CA4F1E" w:rsidP="00DA714C">
            <w:pPr>
              <w:widowControl w:val="0"/>
              <w:suppressAutoHyphens/>
              <w:rPr>
                <w:rFonts w:eastAsia="SimSun"/>
              </w:rPr>
            </w:pPr>
            <w:r w:rsidRPr="00DA714C">
              <w:rPr>
                <w:rFonts w:eastAsia="SimSun"/>
              </w:rPr>
              <w:t>-61</w:t>
            </w:r>
          </w:p>
        </w:tc>
      </w:tr>
      <w:tr w:rsidR="00DA714C" w:rsidRPr="00CA4F1E" w14:paraId="78545C59" w14:textId="77777777" w:rsidTr="00DA714C">
        <w:trPr>
          <w:trHeight w:val="227"/>
        </w:trPr>
        <w:tc>
          <w:tcPr>
            <w:tcW w:w="2235" w:type="dxa"/>
            <w:shd w:val="clear" w:color="auto" w:fill="auto"/>
            <w:noWrap/>
            <w:hideMark/>
          </w:tcPr>
          <w:p w14:paraId="3C4FC5A3" w14:textId="77777777" w:rsidR="00CA4F1E" w:rsidRPr="00DA714C" w:rsidRDefault="00CA4F1E" w:rsidP="00DA714C">
            <w:pPr>
              <w:widowControl w:val="0"/>
              <w:suppressAutoHyphens/>
              <w:rPr>
                <w:rFonts w:eastAsia="SimSun"/>
              </w:rPr>
            </w:pPr>
          </w:p>
        </w:tc>
        <w:tc>
          <w:tcPr>
            <w:tcW w:w="1000" w:type="dxa"/>
            <w:shd w:val="clear" w:color="auto" w:fill="auto"/>
            <w:noWrap/>
            <w:hideMark/>
          </w:tcPr>
          <w:p w14:paraId="5B5DD9ED" w14:textId="77777777" w:rsidR="00CA4F1E" w:rsidRPr="00DA714C" w:rsidRDefault="00CA4F1E" w:rsidP="00DA714C">
            <w:pPr>
              <w:widowControl w:val="0"/>
              <w:suppressAutoHyphens/>
              <w:rPr>
                <w:rFonts w:eastAsia="SimSun"/>
              </w:rPr>
            </w:pPr>
          </w:p>
        </w:tc>
        <w:tc>
          <w:tcPr>
            <w:tcW w:w="276" w:type="dxa"/>
            <w:shd w:val="clear" w:color="auto" w:fill="auto"/>
            <w:noWrap/>
            <w:hideMark/>
          </w:tcPr>
          <w:p w14:paraId="3A7E3F86" w14:textId="77777777" w:rsidR="00CA4F1E" w:rsidRPr="00DA714C" w:rsidRDefault="00CA4F1E" w:rsidP="00DA714C">
            <w:pPr>
              <w:widowControl w:val="0"/>
              <w:suppressAutoHyphens/>
              <w:rPr>
                <w:rFonts w:eastAsia="SimSun"/>
              </w:rPr>
            </w:pPr>
          </w:p>
        </w:tc>
        <w:tc>
          <w:tcPr>
            <w:tcW w:w="2126" w:type="dxa"/>
            <w:shd w:val="clear" w:color="auto" w:fill="auto"/>
            <w:noWrap/>
          </w:tcPr>
          <w:p w14:paraId="1857DD23" w14:textId="77777777" w:rsidR="00CA4F1E" w:rsidRPr="00DA714C" w:rsidRDefault="00CA4F1E" w:rsidP="00DA714C">
            <w:pPr>
              <w:widowControl w:val="0"/>
              <w:suppressAutoHyphens/>
              <w:rPr>
                <w:rFonts w:eastAsia="SimSun"/>
              </w:rPr>
            </w:pPr>
            <w:r w:rsidRPr="00DA714C">
              <w:rPr>
                <w:rFonts w:eastAsia="SimSun"/>
              </w:rPr>
              <w:t>South Korea</w:t>
            </w:r>
          </w:p>
        </w:tc>
        <w:tc>
          <w:tcPr>
            <w:tcW w:w="980" w:type="dxa"/>
            <w:shd w:val="clear" w:color="auto" w:fill="auto"/>
            <w:noWrap/>
          </w:tcPr>
          <w:p w14:paraId="7DCB38F0" w14:textId="77777777" w:rsidR="00CA4F1E" w:rsidRPr="00DA714C" w:rsidRDefault="00CA4F1E" w:rsidP="00DA714C">
            <w:pPr>
              <w:widowControl w:val="0"/>
              <w:suppressAutoHyphens/>
              <w:rPr>
                <w:rFonts w:eastAsia="SimSun"/>
              </w:rPr>
            </w:pPr>
            <w:r w:rsidRPr="00DA714C">
              <w:rPr>
                <w:rFonts w:eastAsia="SimSun"/>
              </w:rPr>
              <w:t>-75</w:t>
            </w:r>
          </w:p>
        </w:tc>
      </w:tr>
      <w:tr w:rsidR="00DA714C" w:rsidRPr="00CA4F1E" w14:paraId="0F2ABB1B" w14:textId="77777777" w:rsidTr="00DA714C">
        <w:trPr>
          <w:trHeight w:val="227"/>
        </w:trPr>
        <w:tc>
          <w:tcPr>
            <w:tcW w:w="2235" w:type="dxa"/>
            <w:shd w:val="clear" w:color="auto" w:fill="auto"/>
            <w:noWrap/>
            <w:hideMark/>
          </w:tcPr>
          <w:p w14:paraId="5767CAA0" w14:textId="77777777" w:rsidR="00CA4F1E" w:rsidRPr="00DA714C" w:rsidRDefault="00CA4F1E" w:rsidP="00DA714C">
            <w:pPr>
              <w:widowControl w:val="0"/>
              <w:suppressAutoHyphens/>
              <w:rPr>
                <w:rFonts w:eastAsia="SimSun"/>
                <w:b/>
                <w:bCs/>
              </w:rPr>
            </w:pPr>
            <w:r w:rsidRPr="00DA714C">
              <w:rPr>
                <w:rFonts w:eastAsia="SimSun"/>
                <w:b/>
              </w:rPr>
              <w:t>EFTA</w:t>
            </w:r>
          </w:p>
        </w:tc>
        <w:tc>
          <w:tcPr>
            <w:tcW w:w="1000" w:type="dxa"/>
            <w:shd w:val="clear" w:color="auto" w:fill="auto"/>
            <w:noWrap/>
            <w:hideMark/>
          </w:tcPr>
          <w:p w14:paraId="43D5458D" w14:textId="77777777" w:rsidR="00CA4F1E" w:rsidRPr="00DA714C" w:rsidRDefault="00CA4F1E" w:rsidP="00DA714C">
            <w:pPr>
              <w:widowControl w:val="0"/>
              <w:suppressAutoHyphens/>
              <w:rPr>
                <w:rFonts w:eastAsia="SimSun"/>
              </w:rPr>
            </w:pPr>
          </w:p>
        </w:tc>
        <w:tc>
          <w:tcPr>
            <w:tcW w:w="276" w:type="dxa"/>
            <w:shd w:val="clear" w:color="auto" w:fill="auto"/>
            <w:noWrap/>
            <w:hideMark/>
          </w:tcPr>
          <w:p w14:paraId="67D9FB80" w14:textId="77777777" w:rsidR="00CA4F1E" w:rsidRPr="00DA714C" w:rsidRDefault="00CA4F1E" w:rsidP="00DA714C">
            <w:pPr>
              <w:widowControl w:val="0"/>
              <w:suppressAutoHyphens/>
              <w:rPr>
                <w:rFonts w:eastAsia="SimSun"/>
              </w:rPr>
            </w:pPr>
          </w:p>
        </w:tc>
        <w:tc>
          <w:tcPr>
            <w:tcW w:w="2126" w:type="dxa"/>
            <w:shd w:val="clear" w:color="auto" w:fill="auto"/>
            <w:noWrap/>
          </w:tcPr>
          <w:p w14:paraId="30925011" w14:textId="77777777" w:rsidR="00CA4F1E" w:rsidRPr="00DA714C" w:rsidRDefault="00CA4F1E" w:rsidP="00DA714C">
            <w:pPr>
              <w:widowControl w:val="0"/>
              <w:suppressAutoHyphens/>
              <w:rPr>
                <w:rFonts w:eastAsia="SimSun"/>
              </w:rPr>
            </w:pPr>
            <w:r w:rsidRPr="00DA714C">
              <w:rPr>
                <w:rFonts w:eastAsia="SimSun"/>
              </w:rPr>
              <w:t>Australia</w:t>
            </w:r>
          </w:p>
        </w:tc>
        <w:tc>
          <w:tcPr>
            <w:tcW w:w="980" w:type="dxa"/>
            <w:shd w:val="clear" w:color="auto" w:fill="auto"/>
            <w:noWrap/>
          </w:tcPr>
          <w:p w14:paraId="78166B99" w14:textId="77777777" w:rsidR="00CA4F1E" w:rsidRPr="00DA714C" w:rsidRDefault="00CA4F1E" w:rsidP="00DA714C">
            <w:pPr>
              <w:widowControl w:val="0"/>
              <w:suppressAutoHyphens/>
              <w:rPr>
                <w:rFonts w:eastAsia="SimSun"/>
              </w:rPr>
            </w:pPr>
            <w:r w:rsidRPr="00DA714C">
              <w:rPr>
                <w:rFonts w:eastAsia="SimSun"/>
              </w:rPr>
              <w:t>-76</w:t>
            </w:r>
          </w:p>
        </w:tc>
      </w:tr>
      <w:tr w:rsidR="00DA714C" w:rsidRPr="00CA4F1E" w14:paraId="55AF16CF" w14:textId="77777777" w:rsidTr="00DA714C">
        <w:trPr>
          <w:trHeight w:val="227"/>
        </w:trPr>
        <w:tc>
          <w:tcPr>
            <w:tcW w:w="2235" w:type="dxa"/>
            <w:shd w:val="clear" w:color="auto" w:fill="auto"/>
            <w:noWrap/>
            <w:hideMark/>
          </w:tcPr>
          <w:p w14:paraId="7558AB49" w14:textId="77777777" w:rsidR="00CA4F1E" w:rsidRPr="00DA714C" w:rsidRDefault="00CA4F1E" w:rsidP="00DA714C">
            <w:pPr>
              <w:widowControl w:val="0"/>
              <w:suppressAutoHyphens/>
              <w:rPr>
                <w:rFonts w:eastAsia="SimSun"/>
              </w:rPr>
            </w:pPr>
            <w:r w:rsidRPr="00DA714C">
              <w:rPr>
                <w:rFonts w:eastAsia="SimSun"/>
              </w:rPr>
              <w:t>Norway</w:t>
            </w:r>
          </w:p>
        </w:tc>
        <w:tc>
          <w:tcPr>
            <w:tcW w:w="1000" w:type="dxa"/>
            <w:shd w:val="clear" w:color="auto" w:fill="auto"/>
            <w:noWrap/>
            <w:hideMark/>
          </w:tcPr>
          <w:p w14:paraId="65AFFD5D" w14:textId="77777777" w:rsidR="00CA4F1E" w:rsidRPr="00DA714C" w:rsidRDefault="00CA4F1E" w:rsidP="00DA714C">
            <w:pPr>
              <w:widowControl w:val="0"/>
              <w:suppressAutoHyphens/>
              <w:rPr>
                <w:rFonts w:eastAsia="SimSun"/>
              </w:rPr>
            </w:pPr>
            <w:r w:rsidRPr="00DA714C">
              <w:rPr>
                <w:rFonts w:eastAsia="SimSun"/>
              </w:rPr>
              <w:t>-6</w:t>
            </w:r>
          </w:p>
        </w:tc>
        <w:tc>
          <w:tcPr>
            <w:tcW w:w="276" w:type="dxa"/>
            <w:shd w:val="clear" w:color="auto" w:fill="auto"/>
            <w:noWrap/>
            <w:hideMark/>
          </w:tcPr>
          <w:p w14:paraId="2B97BDB7" w14:textId="77777777" w:rsidR="00CA4F1E" w:rsidRPr="00DA714C" w:rsidRDefault="00CA4F1E" w:rsidP="00DA714C">
            <w:pPr>
              <w:widowControl w:val="0"/>
              <w:suppressAutoHyphens/>
              <w:rPr>
                <w:rFonts w:eastAsia="SimSun"/>
              </w:rPr>
            </w:pPr>
          </w:p>
        </w:tc>
        <w:tc>
          <w:tcPr>
            <w:tcW w:w="2126" w:type="dxa"/>
            <w:shd w:val="clear" w:color="auto" w:fill="auto"/>
            <w:noWrap/>
            <w:hideMark/>
          </w:tcPr>
          <w:p w14:paraId="7755E2A7" w14:textId="77777777" w:rsidR="00CA4F1E" w:rsidRPr="00DA714C" w:rsidRDefault="00CA4F1E" w:rsidP="00DA714C">
            <w:pPr>
              <w:widowControl w:val="0"/>
              <w:suppressAutoHyphens/>
              <w:rPr>
                <w:rFonts w:eastAsia="SimSun"/>
              </w:rPr>
            </w:pPr>
          </w:p>
        </w:tc>
        <w:tc>
          <w:tcPr>
            <w:tcW w:w="980" w:type="dxa"/>
            <w:shd w:val="clear" w:color="auto" w:fill="auto"/>
            <w:noWrap/>
            <w:hideMark/>
          </w:tcPr>
          <w:p w14:paraId="34E52451" w14:textId="77777777" w:rsidR="00CA4F1E" w:rsidRPr="00DA714C" w:rsidRDefault="00CA4F1E" w:rsidP="00DA714C">
            <w:pPr>
              <w:widowControl w:val="0"/>
              <w:suppressAutoHyphens/>
              <w:rPr>
                <w:rFonts w:eastAsia="SimSun"/>
              </w:rPr>
            </w:pPr>
          </w:p>
        </w:tc>
      </w:tr>
      <w:tr w:rsidR="00DA714C" w:rsidRPr="00CA4F1E" w14:paraId="60D35718" w14:textId="77777777" w:rsidTr="00DA714C">
        <w:trPr>
          <w:trHeight w:val="227"/>
        </w:trPr>
        <w:tc>
          <w:tcPr>
            <w:tcW w:w="2235" w:type="dxa"/>
            <w:tcBorders>
              <w:bottom w:val="single" w:sz="4" w:space="0" w:color="auto"/>
            </w:tcBorders>
            <w:shd w:val="clear" w:color="auto" w:fill="auto"/>
            <w:noWrap/>
            <w:hideMark/>
          </w:tcPr>
          <w:p w14:paraId="390AE5CE" w14:textId="77777777" w:rsidR="00CA4F1E" w:rsidRPr="00DA714C" w:rsidRDefault="00CA4F1E" w:rsidP="00DA714C">
            <w:pPr>
              <w:widowControl w:val="0"/>
              <w:suppressAutoHyphens/>
              <w:rPr>
                <w:rFonts w:eastAsia="SimSun"/>
              </w:rPr>
            </w:pPr>
            <w:r w:rsidRPr="00DA714C">
              <w:rPr>
                <w:rFonts w:eastAsia="SimSun"/>
              </w:rPr>
              <w:t>Iceland</w:t>
            </w:r>
          </w:p>
        </w:tc>
        <w:tc>
          <w:tcPr>
            <w:tcW w:w="1000" w:type="dxa"/>
            <w:tcBorders>
              <w:bottom w:val="single" w:sz="4" w:space="0" w:color="auto"/>
            </w:tcBorders>
            <w:shd w:val="clear" w:color="auto" w:fill="auto"/>
            <w:noWrap/>
            <w:hideMark/>
          </w:tcPr>
          <w:p w14:paraId="721EEB2C" w14:textId="77777777" w:rsidR="00CA4F1E" w:rsidRPr="00DA714C" w:rsidRDefault="00CA4F1E" w:rsidP="00DA714C">
            <w:pPr>
              <w:widowControl w:val="0"/>
              <w:suppressAutoHyphens/>
              <w:rPr>
                <w:rFonts w:eastAsia="SimSun"/>
              </w:rPr>
            </w:pPr>
            <w:r w:rsidRPr="00DA714C">
              <w:rPr>
                <w:rFonts w:eastAsia="SimSun"/>
              </w:rPr>
              <w:t>-36</w:t>
            </w:r>
          </w:p>
        </w:tc>
        <w:tc>
          <w:tcPr>
            <w:tcW w:w="276" w:type="dxa"/>
            <w:tcBorders>
              <w:bottom w:val="single" w:sz="4" w:space="0" w:color="auto"/>
            </w:tcBorders>
            <w:shd w:val="clear" w:color="auto" w:fill="auto"/>
            <w:noWrap/>
            <w:hideMark/>
          </w:tcPr>
          <w:p w14:paraId="2730E0EF" w14:textId="77777777" w:rsidR="00CA4F1E" w:rsidRPr="00DA714C" w:rsidRDefault="00CA4F1E" w:rsidP="00DA714C">
            <w:pPr>
              <w:widowControl w:val="0"/>
              <w:suppressAutoHyphens/>
              <w:rPr>
                <w:rFonts w:eastAsia="SimSun"/>
              </w:rPr>
            </w:pPr>
          </w:p>
        </w:tc>
        <w:tc>
          <w:tcPr>
            <w:tcW w:w="2126" w:type="dxa"/>
            <w:tcBorders>
              <w:bottom w:val="single" w:sz="4" w:space="0" w:color="auto"/>
            </w:tcBorders>
            <w:shd w:val="clear" w:color="auto" w:fill="auto"/>
            <w:noWrap/>
          </w:tcPr>
          <w:p w14:paraId="193204AC" w14:textId="77777777" w:rsidR="00CA4F1E" w:rsidRPr="00DA714C" w:rsidRDefault="00CA4F1E" w:rsidP="00DA714C">
            <w:pPr>
              <w:widowControl w:val="0"/>
              <w:suppressAutoHyphens/>
              <w:rPr>
                <w:rFonts w:eastAsia="SimSun"/>
              </w:rPr>
            </w:pPr>
          </w:p>
        </w:tc>
        <w:tc>
          <w:tcPr>
            <w:tcW w:w="980" w:type="dxa"/>
            <w:tcBorders>
              <w:bottom w:val="single" w:sz="4" w:space="0" w:color="auto"/>
            </w:tcBorders>
            <w:shd w:val="clear" w:color="auto" w:fill="auto"/>
            <w:noWrap/>
          </w:tcPr>
          <w:p w14:paraId="2EE9F7C7" w14:textId="77777777" w:rsidR="00CA4F1E" w:rsidRPr="00DA714C" w:rsidRDefault="00CA4F1E" w:rsidP="00DA714C">
            <w:pPr>
              <w:widowControl w:val="0"/>
              <w:suppressAutoHyphens/>
              <w:rPr>
                <w:rFonts w:eastAsia="SimSun"/>
              </w:rPr>
            </w:pPr>
          </w:p>
        </w:tc>
      </w:tr>
    </w:tbl>
    <w:p w14:paraId="186DC73F" w14:textId="7C00F0D4" w:rsidR="00CA4F1E" w:rsidRPr="00CA4F1E" w:rsidRDefault="00CA4F1E" w:rsidP="00CA4F1E">
      <w:pPr>
        <w:pStyle w:val="Heading2"/>
        <w:jc w:val="both"/>
        <w:rPr>
          <w:rFonts w:ascii="Times New Roman" w:hAnsi="Times New Roman"/>
          <w:b w:val="0"/>
          <w:i w:val="0"/>
          <w:sz w:val="20"/>
        </w:rPr>
      </w:pPr>
      <w:r w:rsidRPr="00CA4F1E">
        <w:rPr>
          <w:rFonts w:ascii="Times New Roman" w:hAnsi="Times New Roman"/>
          <w:b w:val="0"/>
          <w:i w:val="0"/>
          <w:sz w:val="20"/>
        </w:rPr>
        <w:t xml:space="preserve">According to our results, however, the GHG abatement is not nearly as expensive as the most pessimistic forecasts in the late 1990s projected. This is </w:t>
      </w:r>
      <w:proofErr w:type="gramStart"/>
      <w:r w:rsidRPr="00CA4F1E">
        <w:rPr>
          <w:rFonts w:ascii="Times New Roman" w:hAnsi="Times New Roman"/>
          <w:b w:val="0"/>
          <w:i w:val="0"/>
          <w:sz w:val="20"/>
        </w:rPr>
        <w:t>due to the fact that</w:t>
      </w:r>
      <w:proofErr w:type="gramEnd"/>
      <w:r w:rsidRPr="00CA4F1E">
        <w:rPr>
          <w:rFonts w:ascii="Times New Roman" w:hAnsi="Times New Roman"/>
          <w:b w:val="0"/>
          <w:i w:val="0"/>
          <w:sz w:val="20"/>
        </w:rPr>
        <w:t xml:space="preserve"> most estimates completely ignore inefficiency in production as well as input-side abatement alternatives.  </w:t>
      </w:r>
    </w:p>
    <w:p w14:paraId="6C412613" w14:textId="77777777" w:rsidR="00DC69F1" w:rsidRPr="00D767DA" w:rsidRDefault="00DC69F1">
      <w:pPr>
        <w:pStyle w:val="Heading2"/>
        <w:jc w:val="both"/>
        <w:rPr>
          <w:i w:val="0"/>
          <w:sz w:val="24"/>
          <w:szCs w:val="24"/>
        </w:rPr>
      </w:pPr>
      <w:r w:rsidRPr="00D767DA">
        <w:rPr>
          <w:i w:val="0"/>
          <w:sz w:val="24"/>
          <w:szCs w:val="24"/>
        </w:rPr>
        <w:t>Conclusions</w:t>
      </w:r>
    </w:p>
    <w:p w14:paraId="3A4F1ECD" w14:textId="28A59D6B" w:rsidR="00DC69F1" w:rsidRPr="00A247C7" w:rsidRDefault="00CA4F1E" w:rsidP="004941F4">
      <w:pPr>
        <w:pStyle w:val="Heading2"/>
        <w:jc w:val="both"/>
        <w:rPr>
          <w:rFonts w:ascii="Times New Roman" w:hAnsi="Times New Roman"/>
          <w:i w:val="0"/>
          <w:sz w:val="20"/>
        </w:rPr>
      </w:pPr>
      <w:r w:rsidRPr="00CA4F1E">
        <w:rPr>
          <w:rFonts w:ascii="Times New Roman" w:hAnsi="Times New Roman"/>
          <w:b w:val="0"/>
          <w:i w:val="0"/>
          <w:sz w:val="20"/>
        </w:rPr>
        <w:t>Unbiased estimation of abatement cost is critically important for policy making. We believe that the perceived prohibitively high price of GHG abatement was the main reason why the USA never ratified the Kyoto Protocol. If the scientific community can convincingly demonstrate that the actual economic cost has been much lower than the exaggerated forecasts portrayed in the most pessimistic studies, then it would be much easier for policy makers to commit to more ambitious GHG emission reductions that are considered necessary by the IPPC. We hope that this study can be a first step in this direction, motivating further research on this critically important topic.</w:t>
      </w:r>
    </w:p>
    <w:p w14:paraId="085D6AC1" w14:textId="77777777" w:rsidR="00DC69F1" w:rsidRPr="00D767DA" w:rsidRDefault="00DC69F1">
      <w:pPr>
        <w:pStyle w:val="Heading2"/>
        <w:rPr>
          <w:i w:val="0"/>
          <w:sz w:val="24"/>
          <w:szCs w:val="24"/>
        </w:rPr>
      </w:pPr>
      <w:r w:rsidRPr="00D767DA">
        <w:rPr>
          <w:i w:val="0"/>
          <w:sz w:val="24"/>
          <w:szCs w:val="24"/>
        </w:rPr>
        <w:t>References</w:t>
      </w:r>
    </w:p>
    <w:p w14:paraId="327CD9B5" w14:textId="77777777" w:rsidR="004941F4" w:rsidRDefault="004941F4" w:rsidP="004941F4">
      <w:pPr>
        <w:pStyle w:val="BodyText2"/>
        <w:spacing w:after="200"/>
      </w:pPr>
      <w:r>
        <w:t xml:space="preserve">Kuosmanen, T., A.L. Johnson, and A. </w:t>
      </w:r>
      <w:proofErr w:type="spellStart"/>
      <w:r>
        <w:t>Saastamoinen</w:t>
      </w:r>
      <w:proofErr w:type="spellEnd"/>
      <w:r>
        <w:t xml:space="preserve"> (2015) Stochastic nonparametric approach to efficiency analysis: A unified framework, in: J. Zhu (Ed.) </w:t>
      </w:r>
      <w:r w:rsidRPr="004941F4">
        <w:rPr>
          <w:i/>
        </w:rPr>
        <w:t>Data Envelopment Analysis</w:t>
      </w:r>
      <w:r>
        <w:t>. Springer, Boston, MA, pp. 191-244.</w:t>
      </w:r>
    </w:p>
    <w:p w14:paraId="4B5ABB9C" w14:textId="22786F25" w:rsidR="00DC69F1" w:rsidRDefault="004941F4" w:rsidP="004941F4">
      <w:pPr>
        <w:pStyle w:val="BodyText2"/>
        <w:spacing w:after="200"/>
        <w:jc w:val="left"/>
      </w:pPr>
      <w:r>
        <w:t xml:space="preserve">Kuosmanen, T., and X. Zhou (2018) Shadow Prices and Marginal Abatement Costs: Convex Quantile Regression Approach, working paper. Available online at: </w:t>
      </w:r>
      <w:hyperlink r:id="rId7" w:history="1">
        <w:r w:rsidRPr="00A0111B">
          <w:rPr>
            <w:rStyle w:val="Hyperlink"/>
          </w:rPr>
          <w:t>https://www.researchgate.net/publication/329268893</w:t>
        </w:r>
      </w:hyperlink>
      <w:r>
        <w:t>.</w:t>
      </w:r>
    </w:p>
    <w:p w14:paraId="1494F2B0" w14:textId="77777777" w:rsidR="004941F4" w:rsidRPr="004941F4" w:rsidRDefault="004941F4" w:rsidP="004941F4">
      <w:pPr>
        <w:pStyle w:val="BodyText2"/>
        <w:spacing w:after="200"/>
      </w:pPr>
      <w:r w:rsidRPr="004941F4">
        <w:t xml:space="preserve">Murkowski, F.H. (2000) The Kyoto Protocol is not the Answer to Climate Change, </w:t>
      </w:r>
      <w:proofErr w:type="spellStart"/>
      <w:r w:rsidRPr="004941F4">
        <w:rPr>
          <w:i/>
        </w:rPr>
        <w:t>Havard</w:t>
      </w:r>
      <w:proofErr w:type="spellEnd"/>
      <w:r w:rsidRPr="004941F4">
        <w:rPr>
          <w:i/>
        </w:rPr>
        <w:t xml:space="preserve"> Journal on Legislation</w:t>
      </w:r>
      <w:r w:rsidRPr="004941F4">
        <w:t xml:space="preserve"> 37(1), 345-367.</w:t>
      </w:r>
    </w:p>
    <w:p w14:paraId="0AD9DF8F" w14:textId="312EFF23" w:rsidR="004941F4" w:rsidRPr="004941F4" w:rsidRDefault="004941F4" w:rsidP="004941F4">
      <w:pPr>
        <w:pStyle w:val="BodyText2"/>
        <w:spacing w:after="200"/>
        <w:jc w:val="left"/>
      </w:pPr>
      <w:r w:rsidRPr="004941F4">
        <w:t xml:space="preserve">Nordhaus, W.D., and J.G. Boyer (1999) Requiem for Kyoto: An Economic Analysis of the Kyoto Protocol, </w:t>
      </w:r>
      <w:r w:rsidRPr="004941F4">
        <w:rPr>
          <w:i/>
        </w:rPr>
        <w:t>The Energy Journal</w:t>
      </w:r>
      <w:r w:rsidRPr="004941F4">
        <w:t xml:space="preserve"> 20, 93-130.</w:t>
      </w:r>
    </w:p>
    <w:sectPr w:rsidR="004941F4" w:rsidRPr="004941F4" w:rsidSect="00FC73E0">
      <w:headerReference w:type="first" r:id="rId8"/>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DE37" w14:textId="77777777" w:rsidR="00DA714C" w:rsidRDefault="00DA714C">
      <w:r>
        <w:separator/>
      </w:r>
    </w:p>
  </w:endnote>
  <w:endnote w:type="continuationSeparator" w:id="0">
    <w:p w14:paraId="27F645CA" w14:textId="77777777" w:rsidR="00DA714C" w:rsidRDefault="00DA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0C266" w14:textId="77777777" w:rsidR="00DA714C" w:rsidRDefault="00DA714C">
      <w:r>
        <w:separator/>
      </w:r>
    </w:p>
  </w:footnote>
  <w:footnote w:type="continuationSeparator" w:id="0">
    <w:p w14:paraId="76D93143" w14:textId="77777777" w:rsidR="00DA714C" w:rsidRDefault="00DA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86FB"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start w:val="1"/>
      <w:numFmt w:val="lowerRoman"/>
      <w:lvlText w:val="%1.)"/>
      <w:lvlJc w:val="left"/>
      <w:pPr>
        <w:tabs>
          <w:tab w:val="num" w:pos="720"/>
        </w:tabs>
        <w:ind w:left="435" w:hanging="435"/>
      </w:pPr>
      <w:rPr>
        <w:rFonts w:hint="default"/>
      </w:rPr>
    </w:lvl>
    <w:lvl w:ilvl="1">
      <w:start w:val="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start w:val="1"/>
      <w:numFmt w:val="lowerRoman"/>
      <w:lvlText w:val="%1.)"/>
      <w:lvlJc w:val="left"/>
      <w:pPr>
        <w:tabs>
          <w:tab w:val="num" w:pos="720"/>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3DE"/>
    <w:rsid w:val="003205E5"/>
    <w:rsid w:val="004941F4"/>
    <w:rsid w:val="004A675F"/>
    <w:rsid w:val="004C048E"/>
    <w:rsid w:val="005A5112"/>
    <w:rsid w:val="00633A73"/>
    <w:rsid w:val="00717658"/>
    <w:rsid w:val="00997BF6"/>
    <w:rsid w:val="009B581D"/>
    <w:rsid w:val="00A96D21"/>
    <w:rsid w:val="00B02B7D"/>
    <w:rsid w:val="00CA0507"/>
    <w:rsid w:val="00CA4F1E"/>
    <w:rsid w:val="00D351D8"/>
    <w:rsid w:val="00DA714C"/>
    <w:rsid w:val="00DB0029"/>
    <w:rsid w:val="00DC69F1"/>
    <w:rsid w:val="00E046B2"/>
    <w:rsid w:val="00E9636B"/>
    <w:rsid w:val="00EE5954"/>
    <w:rsid w:val="00F344CF"/>
    <w:rsid w:val="00FC73E0"/>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1ADB1"/>
  <w15:chartTrackingRefBased/>
  <w15:docId w15:val="{7D821FCE-94CE-4FDD-A3B5-14A3DF74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FI" w:eastAsia="en-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20">
    <w:name w:val="Body Text 2"/>
    <w:basedOn w:val="Normal"/>
    <w:pPr>
      <w:ind w:firstLine="360"/>
      <w:jc w:val="both"/>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table" w:styleId="TableGrid">
    <w:name w:val="Table Grid"/>
    <w:basedOn w:val="TableNormal"/>
    <w:uiPriority w:val="59"/>
    <w:unhideWhenUsed/>
    <w:rsid w:val="00CA4F1E"/>
    <w:rPr>
      <w:rFonts w:ascii="Calibri" w:eastAsia="SimSu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94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earchgate.net/publication/3292688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1129</Words>
  <Characters>6440</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Timo Kuosmanen</cp:lastModifiedBy>
  <cp:revision>3</cp:revision>
  <cp:lastPrinted>2012-01-19T08:58:00Z</cp:lastPrinted>
  <dcterms:created xsi:type="dcterms:W3CDTF">2018-12-15T06:59:00Z</dcterms:created>
  <dcterms:modified xsi:type="dcterms:W3CDTF">2018-12-15T07:15:00Z</dcterms:modified>
</cp:coreProperties>
</file>