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848F6" w14:textId="77777777" w:rsidR="00DC69F1" w:rsidRDefault="00DC69F1" w:rsidP="00DC69F1">
      <w:pPr>
        <w:framePr w:w="10800" w:h="2142" w:hRule="exact" w:hSpace="187" w:wrap="auto" w:vAnchor="page" w:hAnchor="page" w:x="714" w:y="1085"/>
        <w:jc w:val="center"/>
      </w:pPr>
      <w:r>
        <w:t xml:space="preserve">       </w:t>
      </w:r>
      <w:r>
        <w:tab/>
      </w:r>
      <w:r>
        <w:tab/>
      </w:r>
      <w:r>
        <w:tab/>
      </w:r>
      <w:r>
        <w:tab/>
      </w:r>
      <w:r>
        <w:tab/>
      </w:r>
      <w:r>
        <w:tab/>
      </w:r>
      <w:r>
        <w:tab/>
      </w:r>
      <w:r>
        <w:tab/>
      </w:r>
      <w:r>
        <w:tab/>
        <w:t xml:space="preserve">                                                 </w:t>
      </w:r>
      <w:r>
        <w:tab/>
      </w:r>
    </w:p>
    <w:p w14:paraId="2E27DCF3" w14:textId="4CE39113" w:rsidR="00CA4F1E" w:rsidRPr="009C552B" w:rsidRDefault="009C552B" w:rsidP="009C552B">
      <w:pPr>
        <w:pStyle w:val="BodyText"/>
        <w:framePr w:w="10800" w:h="2142" w:hRule="exact" w:hSpace="187" w:wrap="auto" w:vAnchor="page" w:hAnchor="page" w:x="714" w:y="1085"/>
        <w:jc w:val="right"/>
        <w:rPr>
          <w:b/>
          <w:i/>
          <w:caps/>
          <w:sz w:val="28"/>
          <w:szCs w:val="28"/>
        </w:rPr>
      </w:pPr>
      <w:r w:rsidRPr="009C552B">
        <w:rPr>
          <w:b/>
          <w:i/>
          <w:caps/>
          <w:sz w:val="28"/>
          <w:szCs w:val="28"/>
        </w:rPr>
        <w:t>How harmful is the rate of return regulation?</w:t>
      </w:r>
      <w:r>
        <w:rPr>
          <w:b/>
          <w:i/>
          <w:caps/>
          <w:sz w:val="28"/>
          <w:szCs w:val="28"/>
        </w:rPr>
        <w:t xml:space="preserve"> </w:t>
      </w:r>
      <w:r w:rsidRPr="009C552B">
        <w:rPr>
          <w:b/>
          <w:i/>
          <w:caps/>
          <w:sz w:val="28"/>
          <w:szCs w:val="28"/>
        </w:rPr>
        <w:t>Averch-Johnson critique revisited</w:t>
      </w:r>
    </w:p>
    <w:p w14:paraId="0F7D16E2" w14:textId="77777777" w:rsidR="009C552B" w:rsidRDefault="00CA4F1E" w:rsidP="00CA4F1E">
      <w:pPr>
        <w:pStyle w:val="BodyText"/>
        <w:framePr w:w="10800" w:h="2142" w:hRule="exact" w:hSpace="187" w:wrap="auto" w:vAnchor="page" w:hAnchor="page" w:x="714" w:y="1085"/>
        <w:jc w:val="right"/>
        <w:rPr>
          <w:sz w:val="20"/>
        </w:rPr>
      </w:pPr>
      <w:r w:rsidRPr="00D767DA">
        <w:rPr>
          <w:sz w:val="20"/>
        </w:rPr>
        <w:t xml:space="preserve"> </w:t>
      </w:r>
    </w:p>
    <w:p w14:paraId="7CCA961A" w14:textId="700874FE" w:rsidR="00CA4F1E" w:rsidRDefault="00CA4F1E" w:rsidP="00CA4F1E">
      <w:pPr>
        <w:pStyle w:val="BodyText"/>
        <w:framePr w:w="10800" w:h="2142" w:hRule="exact" w:hSpace="187" w:wrap="auto" w:vAnchor="page" w:hAnchor="page" w:x="714" w:y="1085"/>
        <w:jc w:val="right"/>
        <w:rPr>
          <w:sz w:val="20"/>
        </w:rPr>
      </w:pPr>
      <w:r w:rsidRPr="00CA4F1E">
        <w:rPr>
          <w:sz w:val="20"/>
        </w:rPr>
        <w:t>Timo Kuosmanen</w:t>
      </w:r>
      <w:r>
        <w:rPr>
          <w:sz w:val="20"/>
        </w:rPr>
        <w:t>, Aalto University School of Business, Helsinki, Finland, +358 9</w:t>
      </w:r>
      <w:r w:rsidRPr="00CA4F1E">
        <w:rPr>
          <w:sz w:val="20"/>
        </w:rPr>
        <w:t>47001</w:t>
      </w:r>
      <w:r>
        <w:rPr>
          <w:sz w:val="20"/>
        </w:rPr>
        <w:t>, timo.kuosmanen@aalto.fi</w:t>
      </w:r>
    </w:p>
    <w:p w14:paraId="0CCB5FC1" w14:textId="42E3B4D0" w:rsidR="00CA4F1E" w:rsidRPr="00CA4F1E" w:rsidRDefault="000B4BF5" w:rsidP="00CA4F1E">
      <w:pPr>
        <w:pStyle w:val="BodyText"/>
        <w:framePr w:w="10800" w:h="2142" w:hRule="exact" w:hSpace="187" w:wrap="auto" w:vAnchor="page" w:hAnchor="page" w:x="714" w:y="1085"/>
        <w:jc w:val="right"/>
        <w:rPr>
          <w:sz w:val="20"/>
        </w:rPr>
      </w:pPr>
      <w:r>
        <w:rPr>
          <w:sz w:val="20"/>
        </w:rPr>
        <w:t>Tuan Nguyen</w:t>
      </w:r>
      <w:r w:rsidR="00CA4F1E">
        <w:rPr>
          <w:sz w:val="20"/>
        </w:rPr>
        <w:t xml:space="preserve">, </w:t>
      </w:r>
      <w:r w:rsidR="00CA4F1E">
        <w:rPr>
          <w:sz w:val="20"/>
        </w:rPr>
        <w:t>Aalto University School of Business,</w:t>
      </w:r>
      <w:r w:rsidR="00CA4F1E">
        <w:rPr>
          <w:sz w:val="20"/>
        </w:rPr>
        <w:t xml:space="preserve"> </w:t>
      </w:r>
      <w:r w:rsidR="00CA4F1E">
        <w:rPr>
          <w:sz w:val="20"/>
        </w:rPr>
        <w:t>Helsinki, Finland, +358 9</w:t>
      </w:r>
      <w:r w:rsidR="00CA4F1E" w:rsidRPr="00CA4F1E">
        <w:rPr>
          <w:sz w:val="20"/>
        </w:rPr>
        <w:t>47001</w:t>
      </w:r>
      <w:r w:rsidR="00CA4F1E">
        <w:rPr>
          <w:sz w:val="20"/>
        </w:rPr>
        <w:t xml:space="preserve">, </w:t>
      </w:r>
      <w:r w:rsidR="00CA4F1E">
        <w:rPr>
          <w:sz w:val="20"/>
        </w:rPr>
        <w:t>sheng.dai</w:t>
      </w:r>
      <w:r w:rsidR="00CA4F1E">
        <w:rPr>
          <w:sz w:val="20"/>
        </w:rPr>
        <w:t>@aalto.fi</w:t>
      </w:r>
    </w:p>
    <w:p w14:paraId="74C1000A" w14:textId="77777777" w:rsidR="00DC69F1" w:rsidRPr="00476853" w:rsidRDefault="00DC69F1" w:rsidP="00DC69F1">
      <w:pPr>
        <w:pStyle w:val="Heading2"/>
        <w:ind w:left="-810" w:firstLine="810"/>
        <w:rPr>
          <w:i w:val="0"/>
          <w:sz w:val="24"/>
          <w:szCs w:val="24"/>
        </w:rPr>
      </w:pPr>
      <w:r w:rsidRPr="00476853">
        <w:rPr>
          <w:i w:val="0"/>
          <w:sz w:val="24"/>
          <w:szCs w:val="24"/>
        </w:rPr>
        <w:t>Overview</w:t>
      </w:r>
    </w:p>
    <w:p w14:paraId="4095AD31" w14:textId="064CD4CF" w:rsidR="009C552B" w:rsidRPr="009C552B" w:rsidRDefault="009C552B" w:rsidP="009C552B">
      <w:pPr>
        <w:pStyle w:val="Heading2"/>
        <w:jc w:val="both"/>
        <w:rPr>
          <w:rFonts w:ascii="Times New Roman" w:hAnsi="Times New Roman"/>
          <w:b w:val="0"/>
          <w:i w:val="0"/>
          <w:sz w:val="20"/>
        </w:rPr>
      </w:pPr>
      <w:r w:rsidRPr="009C552B">
        <w:rPr>
          <w:rFonts w:ascii="Times New Roman" w:hAnsi="Times New Roman"/>
          <w:b w:val="0"/>
          <w:i w:val="0"/>
          <w:sz w:val="20"/>
        </w:rPr>
        <w:t xml:space="preserve">Monopoly is a classic example of market failure. To protect the customers from abuse of market power, the government has several policy instruments at their disposal. Historically, the rate of return regulation has been the most widely used regulatory instrument, and despite its shortcomings, it remains in use today. In this regime, the regulated company can recover the incurred costs while the customers are protected from overpaying for the monopoly services. Like any regulation regime, however, the rate of return regulation has its shortcomings. </w:t>
      </w:r>
    </w:p>
    <w:p w14:paraId="4921FB5B" w14:textId="78BBAFDA" w:rsidR="009C552B" w:rsidRPr="009C552B" w:rsidRDefault="009C552B" w:rsidP="009C552B">
      <w:pPr>
        <w:pStyle w:val="Heading2"/>
        <w:ind w:firstLine="720"/>
        <w:jc w:val="both"/>
        <w:rPr>
          <w:rFonts w:ascii="Times New Roman" w:hAnsi="Times New Roman"/>
          <w:b w:val="0"/>
          <w:i w:val="0"/>
          <w:sz w:val="20"/>
        </w:rPr>
      </w:pPr>
      <w:r w:rsidRPr="009C552B">
        <w:rPr>
          <w:rFonts w:ascii="Times New Roman" w:hAnsi="Times New Roman"/>
          <w:b w:val="0"/>
          <w:i w:val="0"/>
          <w:sz w:val="20"/>
        </w:rPr>
        <w:t xml:space="preserve">The seminal paper by </w:t>
      </w:r>
      <w:proofErr w:type="spellStart"/>
      <w:r w:rsidRPr="009C552B">
        <w:rPr>
          <w:rFonts w:ascii="Times New Roman" w:hAnsi="Times New Roman"/>
          <w:b w:val="0"/>
          <w:i w:val="0"/>
          <w:sz w:val="20"/>
        </w:rPr>
        <w:t>Averch</w:t>
      </w:r>
      <w:proofErr w:type="spellEnd"/>
      <w:r w:rsidRPr="009C552B">
        <w:rPr>
          <w:rFonts w:ascii="Times New Roman" w:hAnsi="Times New Roman"/>
          <w:b w:val="0"/>
          <w:i w:val="0"/>
          <w:sz w:val="20"/>
        </w:rPr>
        <w:t xml:space="preserve"> and Johnson (1962) presents a sharp critique on the rate of return regulation, pointing out its distortionary effect in terms of increased capital intensity in production. </w:t>
      </w:r>
      <w:r>
        <w:rPr>
          <w:rFonts w:ascii="Times New Roman" w:hAnsi="Times New Roman"/>
          <w:b w:val="0"/>
          <w:i w:val="0"/>
          <w:sz w:val="20"/>
        </w:rPr>
        <w:t>This paper</w:t>
      </w:r>
      <w:r w:rsidRPr="009C552B">
        <w:rPr>
          <w:rFonts w:ascii="Times New Roman" w:hAnsi="Times New Roman"/>
          <w:b w:val="0"/>
          <w:i w:val="0"/>
          <w:sz w:val="20"/>
        </w:rPr>
        <w:t xml:space="preserve"> is one of the key intellectual roots of the deregulation movement that started in the 1980s, and </w:t>
      </w:r>
      <w:proofErr w:type="gramStart"/>
      <w:r w:rsidRPr="009C552B">
        <w:rPr>
          <w:rFonts w:ascii="Times New Roman" w:hAnsi="Times New Roman"/>
          <w:b w:val="0"/>
          <w:i w:val="0"/>
          <w:sz w:val="20"/>
        </w:rPr>
        <w:t>still continues</w:t>
      </w:r>
      <w:proofErr w:type="gramEnd"/>
      <w:r w:rsidRPr="009C552B">
        <w:rPr>
          <w:rFonts w:ascii="Times New Roman" w:hAnsi="Times New Roman"/>
          <w:b w:val="0"/>
          <w:i w:val="0"/>
          <w:sz w:val="20"/>
        </w:rPr>
        <w:t xml:space="preserve"> in many countries today. Examples of successful deregulation are known in such sectors as airlines, railroads, trucking, and telecommunications, while deregulating the energy sector has proved more challenging, especially in the U.S. (e.g., </w:t>
      </w:r>
      <w:proofErr w:type="spellStart"/>
      <w:r w:rsidRPr="009C552B">
        <w:rPr>
          <w:rFonts w:ascii="Times New Roman" w:hAnsi="Times New Roman"/>
          <w:b w:val="0"/>
          <w:i w:val="0"/>
          <w:sz w:val="20"/>
        </w:rPr>
        <w:t>Joskow</w:t>
      </w:r>
      <w:proofErr w:type="spellEnd"/>
      <w:r w:rsidRPr="009C552B">
        <w:rPr>
          <w:rFonts w:ascii="Times New Roman" w:hAnsi="Times New Roman"/>
          <w:b w:val="0"/>
          <w:i w:val="0"/>
          <w:sz w:val="20"/>
        </w:rPr>
        <w:t>, 2006). The empirical motivation of this study arises from collaboration with European energy regulators</w:t>
      </w:r>
      <w:r>
        <w:rPr>
          <w:rFonts w:ascii="Times New Roman" w:hAnsi="Times New Roman"/>
          <w:b w:val="0"/>
          <w:i w:val="0"/>
          <w:sz w:val="20"/>
        </w:rPr>
        <w:t>.</w:t>
      </w:r>
    </w:p>
    <w:p w14:paraId="3083A771" w14:textId="111C03A8" w:rsidR="009C552B" w:rsidRDefault="009C552B" w:rsidP="009C552B">
      <w:pPr>
        <w:pStyle w:val="Heading2"/>
        <w:ind w:firstLine="720"/>
        <w:jc w:val="both"/>
        <w:rPr>
          <w:rFonts w:ascii="Times New Roman" w:hAnsi="Times New Roman"/>
          <w:b w:val="0"/>
          <w:i w:val="0"/>
          <w:sz w:val="20"/>
        </w:rPr>
      </w:pPr>
      <w:r w:rsidRPr="009C552B">
        <w:rPr>
          <w:rFonts w:ascii="Times New Roman" w:hAnsi="Times New Roman"/>
          <w:b w:val="0"/>
          <w:i w:val="0"/>
          <w:sz w:val="20"/>
        </w:rPr>
        <w:t xml:space="preserve">Despite its major impact on regulation practice and economic thinking in general, there exist surprisingly little quantitative evidence exists on the magnitude of the capital-bias in production, known as the </w:t>
      </w:r>
      <w:proofErr w:type="spellStart"/>
      <w:r w:rsidRPr="009C552B">
        <w:rPr>
          <w:rFonts w:ascii="Times New Roman" w:hAnsi="Times New Roman"/>
          <w:b w:val="0"/>
          <w:i w:val="0"/>
          <w:sz w:val="20"/>
        </w:rPr>
        <w:t>Averch</w:t>
      </w:r>
      <w:proofErr w:type="spellEnd"/>
      <w:r w:rsidRPr="009C552B">
        <w:rPr>
          <w:rFonts w:ascii="Times New Roman" w:hAnsi="Times New Roman"/>
          <w:b w:val="0"/>
          <w:i w:val="0"/>
          <w:sz w:val="20"/>
        </w:rPr>
        <w:t xml:space="preserve">-Johnson effect. Two notable empirical studies include Spann (1974) and </w:t>
      </w:r>
      <w:proofErr w:type="spellStart"/>
      <w:r w:rsidRPr="009C552B">
        <w:rPr>
          <w:rFonts w:ascii="Times New Roman" w:hAnsi="Times New Roman"/>
          <w:b w:val="0"/>
          <w:i w:val="0"/>
          <w:sz w:val="20"/>
        </w:rPr>
        <w:t>Cicala</w:t>
      </w:r>
      <w:proofErr w:type="spellEnd"/>
      <w:r w:rsidRPr="009C552B">
        <w:rPr>
          <w:rFonts w:ascii="Times New Roman" w:hAnsi="Times New Roman"/>
          <w:b w:val="0"/>
          <w:i w:val="0"/>
          <w:sz w:val="20"/>
        </w:rPr>
        <w:t xml:space="preserve"> (2015), who both find convincing evidence of the </w:t>
      </w:r>
      <w:proofErr w:type="spellStart"/>
      <w:r w:rsidRPr="009C552B">
        <w:rPr>
          <w:rFonts w:ascii="Times New Roman" w:hAnsi="Times New Roman"/>
          <w:b w:val="0"/>
          <w:i w:val="0"/>
          <w:sz w:val="20"/>
        </w:rPr>
        <w:t>Averch</w:t>
      </w:r>
      <w:proofErr w:type="spellEnd"/>
      <w:r w:rsidRPr="009C552B">
        <w:rPr>
          <w:rFonts w:ascii="Times New Roman" w:hAnsi="Times New Roman"/>
          <w:b w:val="0"/>
          <w:i w:val="0"/>
          <w:sz w:val="20"/>
        </w:rPr>
        <w:t xml:space="preserve">-Johnson effect in the regulated electric utilities in the U.S. While the economic literature traditionally emphasizes the distortionary effects of regulation, for the sake of balance, we find it important to note that imperfect regulation may still be better than no regulation at all. Further, price cap or revenue cap regulation are by no means immune to the </w:t>
      </w:r>
      <w:proofErr w:type="spellStart"/>
      <w:r w:rsidRPr="009C552B">
        <w:rPr>
          <w:rFonts w:ascii="Times New Roman" w:hAnsi="Times New Roman"/>
          <w:b w:val="0"/>
          <w:i w:val="0"/>
          <w:sz w:val="20"/>
        </w:rPr>
        <w:t>Averch</w:t>
      </w:r>
      <w:proofErr w:type="spellEnd"/>
      <w:r w:rsidRPr="009C552B">
        <w:rPr>
          <w:rFonts w:ascii="Times New Roman" w:hAnsi="Times New Roman"/>
          <w:b w:val="0"/>
          <w:i w:val="0"/>
          <w:sz w:val="20"/>
        </w:rPr>
        <w:t xml:space="preserve">-Johnson effect if the regulator specifies the caps depending on the capital input of the monopoly, as we demonstrate in </w:t>
      </w:r>
      <w:r>
        <w:rPr>
          <w:rFonts w:ascii="Times New Roman" w:hAnsi="Times New Roman"/>
          <w:b w:val="0"/>
          <w:i w:val="0"/>
          <w:sz w:val="20"/>
        </w:rPr>
        <w:t>this paper</w:t>
      </w:r>
      <w:r w:rsidRPr="009C552B">
        <w:rPr>
          <w:rFonts w:ascii="Times New Roman" w:hAnsi="Times New Roman"/>
          <w:b w:val="0"/>
          <w:i w:val="0"/>
          <w:sz w:val="20"/>
        </w:rPr>
        <w:t xml:space="preserve">. </w:t>
      </w:r>
    </w:p>
    <w:p w14:paraId="2895ED77" w14:textId="27A999F2" w:rsidR="00DC69F1" w:rsidRPr="00D767DA" w:rsidRDefault="00DC69F1" w:rsidP="009C552B">
      <w:pPr>
        <w:pStyle w:val="Heading2"/>
        <w:rPr>
          <w:i w:val="0"/>
          <w:sz w:val="24"/>
          <w:szCs w:val="24"/>
        </w:rPr>
      </w:pPr>
      <w:r w:rsidRPr="00D767DA">
        <w:rPr>
          <w:i w:val="0"/>
          <w:sz w:val="24"/>
          <w:szCs w:val="24"/>
        </w:rPr>
        <w:t>Methods</w:t>
      </w:r>
    </w:p>
    <w:p w14:paraId="382099F6" w14:textId="77777777" w:rsidR="009C552B" w:rsidRDefault="009C552B" w:rsidP="009C552B">
      <w:pPr>
        <w:pStyle w:val="Heading2"/>
        <w:jc w:val="both"/>
        <w:rPr>
          <w:rFonts w:ascii="Times New Roman" w:hAnsi="Times New Roman"/>
          <w:b w:val="0"/>
          <w:i w:val="0"/>
          <w:sz w:val="20"/>
        </w:rPr>
      </w:pPr>
      <w:r w:rsidRPr="009C552B">
        <w:rPr>
          <w:rFonts w:ascii="Times New Roman" w:hAnsi="Times New Roman"/>
          <w:b w:val="0"/>
          <w:i w:val="0"/>
          <w:sz w:val="20"/>
        </w:rPr>
        <w:t xml:space="preserve">The main contribution of this paper is to examine the magnitude of the distortionary </w:t>
      </w:r>
      <w:proofErr w:type="spellStart"/>
      <w:r w:rsidRPr="009C552B">
        <w:rPr>
          <w:rFonts w:ascii="Times New Roman" w:hAnsi="Times New Roman"/>
          <w:b w:val="0"/>
          <w:i w:val="0"/>
          <w:sz w:val="20"/>
        </w:rPr>
        <w:t>Averch</w:t>
      </w:r>
      <w:proofErr w:type="spellEnd"/>
      <w:r w:rsidRPr="009C552B">
        <w:rPr>
          <w:rFonts w:ascii="Times New Roman" w:hAnsi="Times New Roman"/>
          <w:b w:val="0"/>
          <w:i w:val="0"/>
          <w:sz w:val="20"/>
        </w:rPr>
        <w:t xml:space="preserve">-Johnson effect and the desirable welfare effects by means of numerical simulations. We compare the optimal profit maximizing </w:t>
      </w:r>
      <w:proofErr w:type="spellStart"/>
      <w:r w:rsidRPr="009C552B">
        <w:rPr>
          <w:rFonts w:ascii="Times New Roman" w:hAnsi="Times New Roman"/>
          <w:b w:val="0"/>
          <w:i w:val="0"/>
          <w:sz w:val="20"/>
        </w:rPr>
        <w:t>behavior</w:t>
      </w:r>
      <w:proofErr w:type="spellEnd"/>
      <w:r w:rsidRPr="009C552B">
        <w:rPr>
          <w:rFonts w:ascii="Times New Roman" w:hAnsi="Times New Roman"/>
          <w:b w:val="0"/>
          <w:i w:val="0"/>
          <w:sz w:val="20"/>
        </w:rPr>
        <w:t xml:space="preserve"> of the regulated monopoly with that of the unregulated monopoly and the competitive market in the controlled environment of the classic textbook setting with a monopoly that produces output using the Cobb-Douglas production function and faces a linear inverse demand function. Our results confirm the theoretical results, but also shed new light on the magnitude of the effects. The simulation results prove surprisingly robust to changes in the underlying parameter values and the functional form of the production function.</w:t>
      </w:r>
    </w:p>
    <w:p w14:paraId="2D5439D9" w14:textId="408136D0" w:rsidR="00DC69F1" w:rsidRPr="00D767DA" w:rsidRDefault="00DC69F1" w:rsidP="00DC69F1">
      <w:pPr>
        <w:pStyle w:val="Heading2"/>
        <w:rPr>
          <w:i w:val="0"/>
          <w:sz w:val="24"/>
          <w:szCs w:val="24"/>
        </w:rPr>
      </w:pPr>
      <w:r w:rsidRPr="00D767DA">
        <w:rPr>
          <w:i w:val="0"/>
          <w:sz w:val="24"/>
          <w:szCs w:val="24"/>
        </w:rPr>
        <w:t>Results</w:t>
      </w:r>
    </w:p>
    <w:p w14:paraId="5C9B85C5" w14:textId="70161661" w:rsidR="009C552B" w:rsidRDefault="009C552B" w:rsidP="009C552B">
      <w:pPr>
        <w:jc w:val="both"/>
      </w:pPr>
      <w:r w:rsidRPr="009C552B">
        <w:t xml:space="preserve">Table 1 reports the results on the </w:t>
      </w:r>
      <w:r>
        <w:t xml:space="preserve">simulation results for </w:t>
      </w:r>
      <w:r w:rsidRPr="009C552B">
        <w:t>the regulated monopoly</w:t>
      </w:r>
      <w:r>
        <w:t xml:space="preserve"> </w:t>
      </w:r>
      <w:r>
        <w:t>as percentage relative to the optimal solution of the unregulated monopoly</w:t>
      </w:r>
      <w:r w:rsidRPr="009C552B">
        <w:t xml:space="preserve">. In the left-most column of Table 1, the regulation parameter </w:t>
      </w:r>
      <w:r w:rsidRPr="009C552B">
        <w:rPr>
          <w:i/>
        </w:rPr>
        <w:t>s</w:t>
      </w:r>
      <w:r w:rsidRPr="009C552B">
        <w:rPr>
          <w:vertAlign w:val="subscript"/>
        </w:rPr>
        <w:t>1</w:t>
      </w:r>
      <w:r w:rsidRPr="009C552B">
        <w:t xml:space="preserve"> increases from 1.02 to 10: the smallest value of </w:t>
      </w:r>
      <w:r w:rsidRPr="009C552B">
        <w:rPr>
          <w:i/>
        </w:rPr>
        <w:t>s</w:t>
      </w:r>
      <w:r w:rsidRPr="009C552B">
        <w:rPr>
          <w:vertAlign w:val="subscript"/>
        </w:rPr>
        <w:t>1</w:t>
      </w:r>
      <w:r w:rsidRPr="009C552B">
        <w:t xml:space="preserve"> corresponds to heavy handed regulation where the regulator enforces the acceptable rate of return very close to the true opportunity cost of capital, and the largest value of s1 correspond to cosmetic regulation where the regulation constraint is not binding. That is, the case of </w:t>
      </w:r>
      <w:r w:rsidRPr="009C552B">
        <w:rPr>
          <w:i/>
        </w:rPr>
        <w:t>s</w:t>
      </w:r>
      <w:r w:rsidRPr="009C552B">
        <w:rPr>
          <w:vertAlign w:val="subscript"/>
        </w:rPr>
        <w:t>1</w:t>
      </w:r>
      <w:r w:rsidRPr="009C552B">
        <w:t xml:space="preserve"> = 10 is equivalent to the optimal solution of the unregulated firm: regulation constraint becomes redundant when</w:t>
      </w:r>
      <w:r w:rsidRPr="009C552B">
        <w:rPr>
          <w:i/>
        </w:rPr>
        <w:t xml:space="preserve"> </w:t>
      </w:r>
      <w:r w:rsidRPr="009C552B">
        <w:rPr>
          <w:i/>
        </w:rPr>
        <w:t>s</w:t>
      </w:r>
      <w:r w:rsidRPr="009C552B">
        <w:rPr>
          <w:vertAlign w:val="subscript"/>
        </w:rPr>
        <w:t>1</w:t>
      </w:r>
      <w:r>
        <w:rPr>
          <w:vertAlign w:val="subscript"/>
        </w:rPr>
        <w:t xml:space="preserve"> </w:t>
      </w:r>
      <w:r>
        <w:t xml:space="preserve">is </w:t>
      </w:r>
      <w:r w:rsidRPr="009C552B">
        <w:t xml:space="preserve">large enough.  </w:t>
      </w:r>
    </w:p>
    <w:p w14:paraId="1A658858" w14:textId="77777777" w:rsidR="009C552B" w:rsidRPr="009C552B" w:rsidRDefault="009C552B" w:rsidP="009C552B">
      <w:pPr>
        <w:jc w:val="both"/>
      </w:pPr>
    </w:p>
    <w:p w14:paraId="08B03762" w14:textId="78C84D42" w:rsidR="009C552B" w:rsidRDefault="009C552B" w:rsidP="009C552B">
      <w:pPr>
        <w:rPr>
          <w:i/>
        </w:rPr>
      </w:pPr>
    </w:p>
    <w:p w14:paraId="3748D3E3" w14:textId="7FF58F7E" w:rsidR="009C552B" w:rsidRDefault="009C552B" w:rsidP="009C552B">
      <w:pPr>
        <w:rPr>
          <w:i/>
        </w:rPr>
      </w:pPr>
    </w:p>
    <w:p w14:paraId="0A8EC16C" w14:textId="219F0E66" w:rsidR="009C552B" w:rsidRDefault="009C552B" w:rsidP="009C552B">
      <w:pPr>
        <w:rPr>
          <w:i/>
        </w:rPr>
      </w:pPr>
    </w:p>
    <w:p w14:paraId="6DF82170" w14:textId="77777777" w:rsidR="009C552B" w:rsidRDefault="009C552B" w:rsidP="009C552B">
      <w:pPr>
        <w:rPr>
          <w:i/>
        </w:rPr>
      </w:pPr>
    </w:p>
    <w:p w14:paraId="7D8704B6" w14:textId="7AAA9FEA" w:rsidR="009C552B" w:rsidRPr="009B2C5E" w:rsidRDefault="009C552B" w:rsidP="009C552B">
      <w:pPr>
        <w:rPr>
          <w:i/>
        </w:rPr>
      </w:pPr>
      <w:r w:rsidRPr="00F5421A">
        <w:rPr>
          <w:i/>
        </w:rPr>
        <w:lastRenderedPageBreak/>
        <w:t>T</w:t>
      </w:r>
      <w:r>
        <w:rPr>
          <w:i/>
        </w:rPr>
        <w:t xml:space="preserve">able </w:t>
      </w:r>
      <w:r>
        <w:rPr>
          <w:i/>
        </w:rPr>
        <w:t>1</w:t>
      </w:r>
      <w:r w:rsidRPr="00132104">
        <w:rPr>
          <w:i/>
        </w:rPr>
        <w:t xml:space="preserve">: </w:t>
      </w:r>
      <w:r>
        <w:rPr>
          <w:i/>
        </w:rPr>
        <w:t>Comparison</w:t>
      </w:r>
      <w:r w:rsidRPr="00132104">
        <w:rPr>
          <w:i/>
        </w:rPr>
        <w:t xml:space="preserve"> of </w:t>
      </w:r>
      <w:r>
        <w:rPr>
          <w:i/>
        </w:rPr>
        <w:t xml:space="preserve">the </w:t>
      </w:r>
      <w:r w:rsidRPr="00132104">
        <w:rPr>
          <w:i/>
        </w:rPr>
        <w:t>regulated</w:t>
      </w:r>
      <w:r>
        <w:rPr>
          <w:i/>
        </w:rPr>
        <w:t xml:space="preserve"> vs unregulated monopoly:</w:t>
      </w:r>
      <w:r w:rsidRPr="00132104">
        <w:rPr>
          <w:i/>
        </w:rPr>
        <w:t xml:space="preserve"> </w:t>
      </w:r>
      <w:r>
        <w:rPr>
          <w:i/>
        </w:rPr>
        <w:t>t</w:t>
      </w:r>
      <w:r w:rsidRPr="00132104">
        <w:rPr>
          <w:i/>
        </w:rPr>
        <w:t xml:space="preserve">he </w:t>
      </w:r>
      <w:r>
        <w:rPr>
          <w:i/>
        </w:rPr>
        <w:t>percentage of</w:t>
      </w:r>
      <w:r w:rsidRPr="00132104">
        <w:rPr>
          <w:i/>
        </w:rPr>
        <w:t xml:space="preserve"> </w:t>
      </w:r>
      <w:r>
        <w:rPr>
          <w:i/>
        </w:rPr>
        <w:t>the regulated monopoly’s outcomes</w:t>
      </w:r>
      <w:r w:rsidRPr="00132104">
        <w:rPr>
          <w:i/>
        </w:rPr>
        <w:t xml:space="preserve"> </w:t>
      </w:r>
      <w:r>
        <w:rPr>
          <w:i/>
        </w:rPr>
        <w:t xml:space="preserve">relative to that of the unregulated monopoly </w:t>
      </w:r>
      <w:r w:rsidRPr="00132104">
        <w:rPr>
          <w:i/>
        </w:rPr>
        <w:t xml:space="preserve">as </w:t>
      </w:r>
      <w:r>
        <w:rPr>
          <w:i/>
        </w:rPr>
        <w:t>a function of parameter s</w:t>
      </w:r>
      <w:r w:rsidRPr="00F5421A">
        <w:rPr>
          <w:i/>
          <w:vertAlign w:val="subscript"/>
        </w:rPr>
        <w:t>1</w:t>
      </w:r>
      <w:r w:rsidRPr="00132104">
        <w:rPr>
          <w:i/>
        </w:rPr>
        <w:t>.</w:t>
      </w:r>
    </w:p>
    <w:tbl>
      <w:tblPr>
        <w:tblW w:w="8392" w:type="dxa"/>
        <w:jc w:val="center"/>
        <w:tblLayout w:type="fixed"/>
        <w:tblLook w:val="04A0" w:firstRow="1" w:lastRow="0" w:firstColumn="1" w:lastColumn="0" w:noHBand="0" w:noVBand="1"/>
      </w:tblPr>
      <w:tblGrid>
        <w:gridCol w:w="916"/>
        <w:gridCol w:w="1246"/>
        <w:gridCol w:w="1246"/>
        <w:gridCol w:w="1246"/>
        <w:gridCol w:w="1246"/>
        <w:gridCol w:w="1246"/>
        <w:gridCol w:w="1246"/>
      </w:tblGrid>
      <w:tr w:rsidR="00D74874" w:rsidRPr="008C7C91" w14:paraId="775DA3B9" w14:textId="77777777" w:rsidTr="00D74874">
        <w:trPr>
          <w:trHeight w:val="340"/>
          <w:jc w:val="center"/>
        </w:trPr>
        <w:tc>
          <w:tcPr>
            <w:tcW w:w="916" w:type="dxa"/>
            <w:tcBorders>
              <w:top w:val="single" w:sz="4" w:space="0" w:color="auto"/>
              <w:bottom w:val="single" w:sz="4" w:space="0" w:color="auto"/>
              <w:right w:val="nil"/>
            </w:tcBorders>
            <w:shd w:val="clear" w:color="auto" w:fill="auto"/>
            <w:vAlign w:val="center"/>
          </w:tcPr>
          <w:p w14:paraId="3FCCC795" w14:textId="77777777" w:rsidR="009C552B" w:rsidRPr="00D74874" w:rsidRDefault="009C552B" w:rsidP="00D74874">
            <w:pPr>
              <w:spacing w:line="276" w:lineRule="auto"/>
              <w:jc w:val="center"/>
              <w:rPr>
                <w:b/>
                <w:bCs/>
                <w:caps/>
                <w:color w:val="000000"/>
                <w:sz w:val="22"/>
                <w:szCs w:val="22"/>
              </w:rPr>
            </w:pPr>
            <w:r w:rsidRPr="00D74874">
              <w:rPr>
                <w:bCs/>
                <w:i/>
                <w:color w:val="000000"/>
                <w:sz w:val="22"/>
                <w:szCs w:val="22"/>
              </w:rPr>
              <w:t>s</w:t>
            </w:r>
            <w:r w:rsidRPr="00D74874">
              <w:rPr>
                <w:bCs/>
                <w:caps/>
                <w:color w:val="000000"/>
                <w:sz w:val="22"/>
                <w:szCs w:val="22"/>
                <w:vertAlign w:val="subscript"/>
              </w:rPr>
              <w:t>1</w:t>
            </w:r>
          </w:p>
        </w:tc>
        <w:tc>
          <w:tcPr>
            <w:tcW w:w="1246" w:type="dxa"/>
            <w:tcBorders>
              <w:top w:val="single" w:sz="4" w:space="0" w:color="auto"/>
              <w:bottom w:val="single" w:sz="4" w:space="0" w:color="auto"/>
            </w:tcBorders>
            <w:shd w:val="clear" w:color="auto" w:fill="auto"/>
            <w:vAlign w:val="center"/>
            <w:hideMark/>
          </w:tcPr>
          <w:p w14:paraId="2E117692" w14:textId="77777777" w:rsidR="009C552B" w:rsidRPr="00D74874" w:rsidRDefault="009C552B" w:rsidP="00D74874">
            <w:pPr>
              <w:spacing w:line="276" w:lineRule="auto"/>
              <w:jc w:val="center"/>
              <w:rPr>
                <w:b/>
                <w:bCs/>
                <w:caps/>
                <w:color w:val="000000"/>
                <w:sz w:val="22"/>
                <w:szCs w:val="22"/>
              </w:rPr>
            </w:pPr>
            <w:r w:rsidRPr="00D74874">
              <w:rPr>
                <w:bCs/>
                <w:sz w:val="22"/>
                <w:szCs w:val="22"/>
              </w:rPr>
              <w:t>output</w:t>
            </w:r>
          </w:p>
        </w:tc>
        <w:tc>
          <w:tcPr>
            <w:tcW w:w="1246" w:type="dxa"/>
            <w:tcBorders>
              <w:top w:val="single" w:sz="4" w:space="0" w:color="auto"/>
              <w:bottom w:val="single" w:sz="4" w:space="0" w:color="auto"/>
            </w:tcBorders>
            <w:shd w:val="clear" w:color="auto" w:fill="auto"/>
            <w:vAlign w:val="center"/>
            <w:hideMark/>
          </w:tcPr>
          <w:p w14:paraId="6EFE97E7" w14:textId="77777777" w:rsidR="009C552B" w:rsidRPr="00D74874" w:rsidRDefault="009C552B" w:rsidP="00D74874">
            <w:pPr>
              <w:spacing w:line="276" w:lineRule="auto"/>
              <w:jc w:val="center"/>
              <w:rPr>
                <w:b/>
                <w:bCs/>
                <w:caps/>
                <w:color w:val="000000"/>
                <w:sz w:val="22"/>
                <w:szCs w:val="22"/>
              </w:rPr>
            </w:pPr>
            <w:r w:rsidRPr="00D74874">
              <w:rPr>
                <w:bCs/>
                <w:sz w:val="22"/>
                <w:szCs w:val="22"/>
              </w:rPr>
              <w:t>price</w:t>
            </w:r>
          </w:p>
        </w:tc>
        <w:tc>
          <w:tcPr>
            <w:tcW w:w="1246" w:type="dxa"/>
            <w:tcBorders>
              <w:top w:val="single" w:sz="4" w:space="0" w:color="auto"/>
              <w:bottom w:val="single" w:sz="4" w:space="0" w:color="auto"/>
            </w:tcBorders>
            <w:shd w:val="clear" w:color="auto" w:fill="auto"/>
            <w:vAlign w:val="center"/>
          </w:tcPr>
          <w:p w14:paraId="38166318" w14:textId="77777777" w:rsidR="009C552B" w:rsidRPr="00D74874" w:rsidRDefault="009C552B" w:rsidP="00D74874">
            <w:pPr>
              <w:spacing w:line="276" w:lineRule="auto"/>
              <w:jc w:val="center"/>
              <w:rPr>
                <w:b/>
                <w:bCs/>
                <w:caps/>
                <w:sz w:val="22"/>
                <w:szCs w:val="22"/>
              </w:rPr>
            </w:pPr>
            <w:r w:rsidRPr="00D74874">
              <w:rPr>
                <w:bCs/>
                <w:sz w:val="22"/>
                <w:szCs w:val="22"/>
              </w:rPr>
              <w:t>total revenue</w:t>
            </w:r>
          </w:p>
        </w:tc>
        <w:tc>
          <w:tcPr>
            <w:tcW w:w="1246" w:type="dxa"/>
            <w:tcBorders>
              <w:top w:val="single" w:sz="4" w:space="0" w:color="auto"/>
              <w:bottom w:val="single" w:sz="4" w:space="0" w:color="auto"/>
            </w:tcBorders>
            <w:shd w:val="clear" w:color="auto" w:fill="auto"/>
            <w:vAlign w:val="center"/>
            <w:hideMark/>
          </w:tcPr>
          <w:p w14:paraId="4DE45208" w14:textId="77777777" w:rsidR="009C552B" w:rsidRPr="00D74874" w:rsidRDefault="009C552B" w:rsidP="00D74874">
            <w:pPr>
              <w:spacing w:line="276" w:lineRule="auto"/>
              <w:jc w:val="center"/>
              <w:rPr>
                <w:b/>
                <w:bCs/>
                <w:caps/>
                <w:color w:val="000000"/>
                <w:sz w:val="22"/>
                <w:szCs w:val="22"/>
              </w:rPr>
            </w:pPr>
            <w:r w:rsidRPr="00D74874">
              <w:rPr>
                <w:bCs/>
                <w:sz w:val="22"/>
                <w:szCs w:val="22"/>
              </w:rPr>
              <w:t>monopoly profit</w:t>
            </w:r>
          </w:p>
        </w:tc>
        <w:tc>
          <w:tcPr>
            <w:tcW w:w="1246" w:type="dxa"/>
            <w:tcBorders>
              <w:top w:val="single" w:sz="4" w:space="0" w:color="auto"/>
              <w:bottom w:val="single" w:sz="4" w:space="0" w:color="auto"/>
            </w:tcBorders>
            <w:shd w:val="clear" w:color="auto" w:fill="auto"/>
            <w:vAlign w:val="center"/>
            <w:hideMark/>
          </w:tcPr>
          <w:p w14:paraId="4B2BCD3B" w14:textId="77777777" w:rsidR="009C552B" w:rsidRPr="00D74874" w:rsidRDefault="009C552B" w:rsidP="00D74874">
            <w:pPr>
              <w:spacing w:line="276" w:lineRule="auto"/>
              <w:jc w:val="center"/>
              <w:rPr>
                <w:b/>
                <w:bCs/>
                <w:caps/>
                <w:color w:val="000000"/>
                <w:sz w:val="22"/>
                <w:szCs w:val="22"/>
              </w:rPr>
            </w:pPr>
            <w:r w:rsidRPr="00D74874">
              <w:rPr>
                <w:bCs/>
                <w:sz w:val="22"/>
                <w:szCs w:val="22"/>
              </w:rPr>
              <w:t>consumer surplus</w:t>
            </w:r>
          </w:p>
        </w:tc>
        <w:tc>
          <w:tcPr>
            <w:tcW w:w="1246" w:type="dxa"/>
            <w:tcBorders>
              <w:top w:val="single" w:sz="4" w:space="0" w:color="auto"/>
              <w:bottom w:val="single" w:sz="4" w:space="0" w:color="auto"/>
            </w:tcBorders>
            <w:shd w:val="clear" w:color="auto" w:fill="auto"/>
            <w:vAlign w:val="center"/>
          </w:tcPr>
          <w:p w14:paraId="6A6D1F7B" w14:textId="77777777" w:rsidR="009C552B" w:rsidRPr="00D74874" w:rsidRDefault="009C552B" w:rsidP="00D74874">
            <w:pPr>
              <w:spacing w:line="276" w:lineRule="auto"/>
              <w:jc w:val="center"/>
              <w:rPr>
                <w:b/>
                <w:bCs/>
                <w:caps/>
                <w:color w:val="000000"/>
                <w:sz w:val="22"/>
                <w:szCs w:val="22"/>
              </w:rPr>
            </w:pPr>
            <w:r w:rsidRPr="00D74874">
              <w:rPr>
                <w:bCs/>
                <w:sz w:val="22"/>
                <w:szCs w:val="22"/>
              </w:rPr>
              <w:t>capital intensity</w:t>
            </w:r>
          </w:p>
        </w:tc>
      </w:tr>
      <w:tr w:rsidR="00D74874" w:rsidRPr="008C7C91" w14:paraId="6179448D" w14:textId="77777777" w:rsidTr="00D74874">
        <w:trPr>
          <w:trHeight w:val="340"/>
          <w:jc w:val="center"/>
        </w:trPr>
        <w:tc>
          <w:tcPr>
            <w:tcW w:w="916" w:type="dxa"/>
            <w:tcBorders>
              <w:top w:val="single" w:sz="4" w:space="0" w:color="auto"/>
              <w:right w:val="single" w:sz="4" w:space="0" w:color="7F7F7F"/>
            </w:tcBorders>
            <w:shd w:val="clear" w:color="auto" w:fill="auto"/>
            <w:vAlign w:val="center"/>
          </w:tcPr>
          <w:p w14:paraId="5E5EDB94" w14:textId="77777777" w:rsidR="009C552B" w:rsidRPr="00D74874" w:rsidRDefault="009C552B" w:rsidP="00D74874">
            <w:pPr>
              <w:spacing w:line="276" w:lineRule="auto"/>
              <w:jc w:val="center"/>
              <w:rPr>
                <w:b/>
                <w:bCs/>
                <w:caps/>
                <w:color w:val="000000"/>
                <w:sz w:val="22"/>
                <w:szCs w:val="22"/>
              </w:rPr>
            </w:pPr>
            <w:r w:rsidRPr="00D74874">
              <w:rPr>
                <w:bCs/>
                <w:caps/>
                <w:color w:val="000000"/>
                <w:sz w:val="22"/>
                <w:szCs w:val="22"/>
              </w:rPr>
              <w:t>1.02</w:t>
            </w:r>
          </w:p>
        </w:tc>
        <w:tc>
          <w:tcPr>
            <w:tcW w:w="1246" w:type="dxa"/>
            <w:tcBorders>
              <w:top w:val="single" w:sz="4" w:space="0" w:color="auto"/>
            </w:tcBorders>
            <w:shd w:val="clear" w:color="auto" w:fill="auto"/>
            <w:noWrap/>
            <w:vAlign w:val="center"/>
            <w:hideMark/>
          </w:tcPr>
          <w:p w14:paraId="781AA1D7" w14:textId="77777777" w:rsidR="009C552B" w:rsidRPr="00D74874" w:rsidRDefault="009C552B" w:rsidP="00D74874">
            <w:pPr>
              <w:spacing w:line="276" w:lineRule="auto"/>
              <w:jc w:val="center"/>
              <w:rPr>
                <w:color w:val="000000"/>
                <w:sz w:val="22"/>
                <w:szCs w:val="22"/>
              </w:rPr>
            </w:pPr>
            <w:r w:rsidRPr="00D74874">
              <w:rPr>
                <w:sz w:val="22"/>
                <w:szCs w:val="22"/>
              </w:rPr>
              <w:t>110 %</w:t>
            </w:r>
          </w:p>
        </w:tc>
        <w:tc>
          <w:tcPr>
            <w:tcW w:w="1246" w:type="dxa"/>
            <w:tcBorders>
              <w:top w:val="single" w:sz="4" w:space="0" w:color="auto"/>
            </w:tcBorders>
            <w:shd w:val="clear" w:color="auto" w:fill="auto"/>
            <w:noWrap/>
            <w:vAlign w:val="center"/>
            <w:hideMark/>
          </w:tcPr>
          <w:p w14:paraId="30BFB695" w14:textId="77777777" w:rsidR="009C552B" w:rsidRPr="00D74874" w:rsidRDefault="009C552B" w:rsidP="00D74874">
            <w:pPr>
              <w:spacing w:line="276" w:lineRule="auto"/>
              <w:jc w:val="center"/>
              <w:rPr>
                <w:color w:val="000000"/>
                <w:sz w:val="22"/>
                <w:szCs w:val="22"/>
              </w:rPr>
            </w:pPr>
            <w:r w:rsidRPr="00D74874">
              <w:rPr>
                <w:sz w:val="22"/>
                <w:szCs w:val="22"/>
              </w:rPr>
              <w:t>92 %</w:t>
            </w:r>
          </w:p>
        </w:tc>
        <w:tc>
          <w:tcPr>
            <w:tcW w:w="1246" w:type="dxa"/>
            <w:tcBorders>
              <w:top w:val="single" w:sz="4" w:space="0" w:color="auto"/>
            </w:tcBorders>
            <w:shd w:val="clear" w:color="auto" w:fill="auto"/>
            <w:vAlign w:val="center"/>
          </w:tcPr>
          <w:p w14:paraId="45CC472C" w14:textId="77777777" w:rsidR="009C552B" w:rsidRPr="00D74874" w:rsidRDefault="009C552B" w:rsidP="00D74874">
            <w:pPr>
              <w:spacing w:line="276" w:lineRule="auto"/>
              <w:jc w:val="center"/>
              <w:rPr>
                <w:sz w:val="22"/>
                <w:szCs w:val="22"/>
              </w:rPr>
            </w:pPr>
            <w:r w:rsidRPr="00D74874">
              <w:rPr>
                <w:sz w:val="22"/>
                <w:szCs w:val="22"/>
              </w:rPr>
              <w:t>101 %</w:t>
            </w:r>
          </w:p>
        </w:tc>
        <w:tc>
          <w:tcPr>
            <w:tcW w:w="1246" w:type="dxa"/>
            <w:tcBorders>
              <w:top w:val="single" w:sz="4" w:space="0" w:color="auto"/>
            </w:tcBorders>
            <w:shd w:val="clear" w:color="auto" w:fill="auto"/>
            <w:noWrap/>
            <w:vAlign w:val="center"/>
            <w:hideMark/>
          </w:tcPr>
          <w:p w14:paraId="48D3430B" w14:textId="77777777" w:rsidR="009C552B" w:rsidRPr="00D74874" w:rsidRDefault="009C552B" w:rsidP="00D74874">
            <w:pPr>
              <w:spacing w:line="276" w:lineRule="auto"/>
              <w:jc w:val="center"/>
              <w:rPr>
                <w:color w:val="000000"/>
                <w:sz w:val="22"/>
                <w:szCs w:val="22"/>
              </w:rPr>
            </w:pPr>
            <w:r w:rsidRPr="00D74874">
              <w:rPr>
                <w:sz w:val="22"/>
                <w:szCs w:val="22"/>
              </w:rPr>
              <w:t>2 %</w:t>
            </w:r>
          </w:p>
        </w:tc>
        <w:tc>
          <w:tcPr>
            <w:tcW w:w="1246" w:type="dxa"/>
            <w:tcBorders>
              <w:top w:val="single" w:sz="4" w:space="0" w:color="auto"/>
            </w:tcBorders>
            <w:shd w:val="clear" w:color="auto" w:fill="auto"/>
            <w:noWrap/>
            <w:vAlign w:val="center"/>
            <w:hideMark/>
          </w:tcPr>
          <w:p w14:paraId="6BBFD196" w14:textId="77777777" w:rsidR="009C552B" w:rsidRPr="00D74874" w:rsidRDefault="009C552B" w:rsidP="00D74874">
            <w:pPr>
              <w:spacing w:line="276" w:lineRule="auto"/>
              <w:jc w:val="center"/>
              <w:rPr>
                <w:color w:val="000000"/>
                <w:sz w:val="22"/>
                <w:szCs w:val="22"/>
              </w:rPr>
            </w:pPr>
            <w:r w:rsidRPr="00D74874">
              <w:rPr>
                <w:sz w:val="22"/>
                <w:szCs w:val="22"/>
              </w:rPr>
              <w:t>121 %</w:t>
            </w:r>
          </w:p>
        </w:tc>
        <w:tc>
          <w:tcPr>
            <w:tcW w:w="1246" w:type="dxa"/>
            <w:tcBorders>
              <w:top w:val="single" w:sz="4" w:space="0" w:color="auto"/>
            </w:tcBorders>
            <w:shd w:val="clear" w:color="auto" w:fill="auto"/>
            <w:vAlign w:val="center"/>
          </w:tcPr>
          <w:p w14:paraId="38D86A78" w14:textId="77777777" w:rsidR="009C552B" w:rsidRPr="00D74874" w:rsidRDefault="009C552B" w:rsidP="00D74874">
            <w:pPr>
              <w:spacing w:line="276" w:lineRule="auto"/>
              <w:jc w:val="center"/>
              <w:rPr>
                <w:color w:val="000000"/>
                <w:sz w:val="22"/>
                <w:szCs w:val="22"/>
              </w:rPr>
            </w:pPr>
            <w:r w:rsidRPr="00D74874">
              <w:rPr>
                <w:sz w:val="22"/>
                <w:szCs w:val="22"/>
              </w:rPr>
              <w:t>9611 %</w:t>
            </w:r>
          </w:p>
        </w:tc>
      </w:tr>
      <w:tr w:rsidR="00D74874" w:rsidRPr="008C7C91" w14:paraId="7845342D" w14:textId="77777777" w:rsidTr="00D74874">
        <w:trPr>
          <w:trHeight w:val="340"/>
          <w:jc w:val="center"/>
        </w:trPr>
        <w:tc>
          <w:tcPr>
            <w:tcW w:w="916" w:type="dxa"/>
            <w:tcBorders>
              <w:right w:val="single" w:sz="4" w:space="0" w:color="7F7F7F"/>
            </w:tcBorders>
            <w:shd w:val="clear" w:color="auto" w:fill="auto"/>
            <w:vAlign w:val="center"/>
          </w:tcPr>
          <w:p w14:paraId="0447AF97" w14:textId="77777777" w:rsidR="009C552B" w:rsidRPr="00D74874" w:rsidRDefault="009C552B" w:rsidP="00D74874">
            <w:pPr>
              <w:spacing w:line="276" w:lineRule="auto"/>
              <w:jc w:val="center"/>
              <w:rPr>
                <w:b/>
                <w:bCs/>
                <w:caps/>
                <w:color w:val="000000"/>
                <w:sz w:val="22"/>
                <w:szCs w:val="22"/>
              </w:rPr>
            </w:pPr>
            <w:r w:rsidRPr="00D74874">
              <w:rPr>
                <w:bCs/>
                <w:caps/>
                <w:color w:val="000000"/>
                <w:sz w:val="22"/>
                <w:szCs w:val="22"/>
              </w:rPr>
              <w:t>1.05</w:t>
            </w:r>
          </w:p>
        </w:tc>
        <w:tc>
          <w:tcPr>
            <w:tcW w:w="1246" w:type="dxa"/>
            <w:shd w:val="clear" w:color="auto" w:fill="auto"/>
            <w:noWrap/>
            <w:vAlign w:val="center"/>
            <w:hideMark/>
          </w:tcPr>
          <w:p w14:paraId="4D27E994" w14:textId="77777777" w:rsidR="009C552B" w:rsidRPr="00D74874" w:rsidRDefault="009C552B" w:rsidP="00D74874">
            <w:pPr>
              <w:spacing w:line="276" w:lineRule="auto"/>
              <w:jc w:val="center"/>
              <w:rPr>
                <w:color w:val="000000"/>
                <w:sz w:val="22"/>
                <w:szCs w:val="22"/>
              </w:rPr>
            </w:pPr>
            <w:r w:rsidRPr="00D74874">
              <w:rPr>
                <w:sz w:val="22"/>
                <w:szCs w:val="22"/>
              </w:rPr>
              <w:t>110 %</w:t>
            </w:r>
          </w:p>
        </w:tc>
        <w:tc>
          <w:tcPr>
            <w:tcW w:w="1246" w:type="dxa"/>
            <w:shd w:val="clear" w:color="auto" w:fill="auto"/>
            <w:noWrap/>
            <w:vAlign w:val="center"/>
            <w:hideMark/>
          </w:tcPr>
          <w:p w14:paraId="0F38B5AD" w14:textId="77777777" w:rsidR="009C552B" w:rsidRPr="00D74874" w:rsidRDefault="009C552B" w:rsidP="00D74874">
            <w:pPr>
              <w:spacing w:line="276" w:lineRule="auto"/>
              <w:jc w:val="center"/>
              <w:rPr>
                <w:color w:val="000000"/>
                <w:sz w:val="22"/>
                <w:szCs w:val="22"/>
              </w:rPr>
            </w:pPr>
            <w:r w:rsidRPr="00D74874">
              <w:rPr>
                <w:sz w:val="22"/>
                <w:szCs w:val="22"/>
              </w:rPr>
              <w:t>92 %</w:t>
            </w:r>
          </w:p>
        </w:tc>
        <w:tc>
          <w:tcPr>
            <w:tcW w:w="1246" w:type="dxa"/>
            <w:shd w:val="clear" w:color="auto" w:fill="auto"/>
            <w:vAlign w:val="center"/>
          </w:tcPr>
          <w:p w14:paraId="0D9E5856" w14:textId="77777777" w:rsidR="009C552B" w:rsidRPr="00D74874" w:rsidRDefault="009C552B" w:rsidP="00D74874">
            <w:pPr>
              <w:spacing w:line="276" w:lineRule="auto"/>
              <w:jc w:val="center"/>
              <w:rPr>
                <w:sz w:val="22"/>
                <w:szCs w:val="22"/>
              </w:rPr>
            </w:pPr>
            <w:r w:rsidRPr="00D74874">
              <w:rPr>
                <w:sz w:val="22"/>
                <w:szCs w:val="22"/>
              </w:rPr>
              <w:t>101 %</w:t>
            </w:r>
          </w:p>
        </w:tc>
        <w:tc>
          <w:tcPr>
            <w:tcW w:w="1246" w:type="dxa"/>
            <w:shd w:val="clear" w:color="auto" w:fill="auto"/>
            <w:noWrap/>
            <w:vAlign w:val="center"/>
            <w:hideMark/>
          </w:tcPr>
          <w:p w14:paraId="0EAF8E59" w14:textId="77777777" w:rsidR="009C552B" w:rsidRPr="00D74874" w:rsidRDefault="009C552B" w:rsidP="00D74874">
            <w:pPr>
              <w:spacing w:line="276" w:lineRule="auto"/>
              <w:jc w:val="center"/>
              <w:rPr>
                <w:color w:val="000000"/>
                <w:sz w:val="22"/>
                <w:szCs w:val="22"/>
              </w:rPr>
            </w:pPr>
            <w:r w:rsidRPr="00D74874">
              <w:rPr>
                <w:sz w:val="22"/>
                <w:szCs w:val="22"/>
              </w:rPr>
              <w:t>6 %</w:t>
            </w:r>
          </w:p>
        </w:tc>
        <w:tc>
          <w:tcPr>
            <w:tcW w:w="1246" w:type="dxa"/>
            <w:shd w:val="clear" w:color="auto" w:fill="auto"/>
            <w:noWrap/>
            <w:vAlign w:val="center"/>
            <w:hideMark/>
          </w:tcPr>
          <w:p w14:paraId="7FF49B29" w14:textId="77777777" w:rsidR="009C552B" w:rsidRPr="00D74874" w:rsidRDefault="009C552B" w:rsidP="00D74874">
            <w:pPr>
              <w:spacing w:line="276" w:lineRule="auto"/>
              <w:jc w:val="center"/>
              <w:rPr>
                <w:color w:val="000000"/>
                <w:sz w:val="22"/>
                <w:szCs w:val="22"/>
              </w:rPr>
            </w:pPr>
            <w:r w:rsidRPr="00D74874">
              <w:rPr>
                <w:sz w:val="22"/>
                <w:szCs w:val="22"/>
              </w:rPr>
              <w:t>121 %</w:t>
            </w:r>
          </w:p>
        </w:tc>
        <w:tc>
          <w:tcPr>
            <w:tcW w:w="1246" w:type="dxa"/>
            <w:shd w:val="clear" w:color="auto" w:fill="auto"/>
            <w:vAlign w:val="center"/>
          </w:tcPr>
          <w:p w14:paraId="65F161E3" w14:textId="77777777" w:rsidR="009C552B" w:rsidRPr="00D74874" w:rsidRDefault="009C552B" w:rsidP="00D74874">
            <w:pPr>
              <w:spacing w:line="276" w:lineRule="auto"/>
              <w:jc w:val="center"/>
              <w:rPr>
                <w:color w:val="000000"/>
                <w:sz w:val="22"/>
                <w:szCs w:val="22"/>
              </w:rPr>
            </w:pPr>
            <w:r w:rsidRPr="00D74874">
              <w:rPr>
                <w:sz w:val="22"/>
                <w:szCs w:val="22"/>
              </w:rPr>
              <w:t>9068 %</w:t>
            </w:r>
          </w:p>
        </w:tc>
      </w:tr>
      <w:tr w:rsidR="00D74874" w:rsidRPr="008C7C91" w14:paraId="5F4C45AA" w14:textId="77777777" w:rsidTr="00D74874">
        <w:trPr>
          <w:trHeight w:val="340"/>
          <w:jc w:val="center"/>
        </w:trPr>
        <w:tc>
          <w:tcPr>
            <w:tcW w:w="916" w:type="dxa"/>
            <w:tcBorders>
              <w:right w:val="single" w:sz="4" w:space="0" w:color="7F7F7F"/>
            </w:tcBorders>
            <w:shd w:val="clear" w:color="auto" w:fill="auto"/>
            <w:vAlign w:val="center"/>
          </w:tcPr>
          <w:p w14:paraId="11EFA613" w14:textId="77777777" w:rsidR="009C552B" w:rsidRPr="00D74874" w:rsidRDefault="009C552B" w:rsidP="00D74874">
            <w:pPr>
              <w:spacing w:line="276" w:lineRule="auto"/>
              <w:jc w:val="center"/>
              <w:rPr>
                <w:b/>
                <w:bCs/>
                <w:caps/>
                <w:color w:val="000000"/>
                <w:sz w:val="22"/>
                <w:szCs w:val="22"/>
              </w:rPr>
            </w:pPr>
            <w:r w:rsidRPr="00D74874">
              <w:rPr>
                <w:bCs/>
                <w:caps/>
                <w:color w:val="000000"/>
                <w:sz w:val="22"/>
                <w:szCs w:val="22"/>
              </w:rPr>
              <w:t>1.25</w:t>
            </w:r>
          </w:p>
        </w:tc>
        <w:tc>
          <w:tcPr>
            <w:tcW w:w="1246" w:type="dxa"/>
            <w:shd w:val="clear" w:color="auto" w:fill="auto"/>
            <w:noWrap/>
            <w:vAlign w:val="center"/>
            <w:hideMark/>
          </w:tcPr>
          <w:p w14:paraId="31C2E6F8" w14:textId="77777777" w:rsidR="009C552B" w:rsidRPr="00D74874" w:rsidRDefault="009C552B" w:rsidP="00D74874">
            <w:pPr>
              <w:spacing w:line="276" w:lineRule="auto"/>
              <w:jc w:val="center"/>
              <w:rPr>
                <w:b/>
                <w:color w:val="000000"/>
                <w:sz w:val="22"/>
                <w:szCs w:val="22"/>
              </w:rPr>
            </w:pPr>
            <w:r w:rsidRPr="00D74874">
              <w:rPr>
                <w:sz w:val="22"/>
                <w:szCs w:val="22"/>
              </w:rPr>
              <w:t>110 %</w:t>
            </w:r>
          </w:p>
        </w:tc>
        <w:tc>
          <w:tcPr>
            <w:tcW w:w="1246" w:type="dxa"/>
            <w:shd w:val="clear" w:color="auto" w:fill="auto"/>
            <w:noWrap/>
            <w:vAlign w:val="center"/>
            <w:hideMark/>
          </w:tcPr>
          <w:p w14:paraId="1D237730" w14:textId="77777777" w:rsidR="009C552B" w:rsidRPr="00D74874" w:rsidRDefault="009C552B" w:rsidP="00D74874">
            <w:pPr>
              <w:spacing w:line="276" w:lineRule="auto"/>
              <w:jc w:val="center"/>
              <w:rPr>
                <w:b/>
                <w:color w:val="000000"/>
                <w:sz w:val="22"/>
                <w:szCs w:val="22"/>
              </w:rPr>
            </w:pPr>
            <w:r w:rsidRPr="00D74874">
              <w:rPr>
                <w:sz w:val="22"/>
                <w:szCs w:val="22"/>
              </w:rPr>
              <w:t>92 %</w:t>
            </w:r>
          </w:p>
        </w:tc>
        <w:tc>
          <w:tcPr>
            <w:tcW w:w="1246" w:type="dxa"/>
            <w:shd w:val="clear" w:color="auto" w:fill="auto"/>
            <w:vAlign w:val="center"/>
          </w:tcPr>
          <w:p w14:paraId="74A01DAA" w14:textId="77777777" w:rsidR="009C552B" w:rsidRPr="00D74874" w:rsidRDefault="009C552B" w:rsidP="00D74874">
            <w:pPr>
              <w:spacing w:line="276" w:lineRule="auto"/>
              <w:jc w:val="center"/>
              <w:rPr>
                <w:sz w:val="22"/>
                <w:szCs w:val="22"/>
              </w:rPr>
            </w:pPr>
            <w:r w:rsidRPr="00D74874">
              <w:rPr>
                <w:sz w:val="22"/>
                <w:szCs w:val="22"/>
              </w:rPr>
              <w:t>101 %</w:t>
            </w:r>
          </w:p>
        </w:tc>
        <w:tc>
          <w:tcPr>
            <w:tcW w:w="1246" w:type="dxa"/>
            <w:shd w:val="clear" w:color="auto" w:fill="auto"/>
            <w:noWrap/>
            <w:vAlign w:val="center"/>
            <w:hideMark/>
          </w:tcPr>
          <w:p w14:paraId="3D9EE98F" w14:textId="77777777" w:rsidR="009C552B" w:rsidRPr="00D74874" w:rsidRDefault="009C552B" w:rsidP="00D74874">
            <w:pPr>
              <w:spacing w:line="276" w:lineRule="auto"/>
              <w:jc w:val="center"/>
              <w:rPr>
                <w:b/>
                <w:color w:val="000000"/>
                <w:sz w:val="22"/>
                <w:szCs w:val="22"/>
              </w:rPr>
            </w:pPr>
            <w:r w:rsidRPr="00D74874">
              <w:rPr>
                <w:sz w:val="22"/>
                <w:szCs w:val="22"/>
              </w:rPr>
              <w:t>24 %</w:t>
            </w:r>
          </w:p>
        </w:tc>
        <w:tc>
          <w:tcPr>
            <w:tcW w:w="1246" w:type="dxa"/>
            <w:shd w:val="clear" w:color="auto" w:fill="auto"/>
            <w:noWrap/>
            <w:vAlign w:val="center"/>
            <w:hideMark/>
          </w:tcPr>
          <w:p w14:paraId="1472F4E2" w14:textId="77777777" w:rsidR="009C552B" w:rsidRPr="00D74874" w:rsidRDefault="009C552B" w:rsidP="00D74874">
            <w:pPr>
              <w:spacing w:line="276" w:lineRule="auto"/>
              <w:jc w:val="center"/>
              <w:rPr>
                <w:b/>
                <w:color w:val="000000"/>
                <w:sz w:val="22"/>
                <w:szCs w:val="22"/>
              </w:rPr>
            </w:pPr>
            <w:r w:rsidRPr="00D74874">
              <w:rPr>
                <w:sz w:val="22"/>
                <w:szCs w:val="22"/>
              </w:rPr>
              <w:t>121 %</w:t>
            </w:r>
          </w:p>
        </w:tc>
        <w:tc>
          <w:tcPr>
            <w:tcW w:w="1246" w:type="dxa"/>
            <w:shd w:val="clear" w:color="auto" w:fill="auto"/>
            <w:vAlign w:val="center"/>
          </w:tcPr>
          <w:p w14:paraId="19294517" w14:textId="77777777" w:rsidR="009C552B" w:rsidRPr="00D74874" w:rsidRDefault="009C552B" w:rsidP="00D74874">
            <w:pPr>
              <w:spacing w:line="276" w:lineRule="auto"/>
              <w:jc w:val="center"/>
              <w:rPr>
                <w:b/>
                <w:color w:val="000000"/>
                <w:sz w:val="22"/>
                <w:szCs w:val="22"/>
              </w:rPr>
            </w:pPr>
            <w:r w:rsidRPr="00D74874">
              <w:rPr>
                <w:sz w:val="22"/>
                <w:szCs w:val="22"/>
              </w:rPr>
              <w:t>6390 %</w:t>
            </w:r>
          </w:p>
        </w:tc>
      </w:tr>
      <w:tr w:rsidR="00D74874" w:rsidRPr="008C7C91" w14:paraId="4FB66E72" w14:textId="77777777" w:rsidTr="00D74874">
        <w:trPr>
          <w:trHeight w:val="340"/>
          <w:jc w:val="center"/>
        </w:trPr>
        <w:tc>
          <w:tcPr>
            <w:tcW w:w="916" w:type="dxa"/>
            <w:tcBorders>
              <w:right w:val="single" w:sz="4" w:space="0" w:color="7F7F7F"/>
            </w:tcBorders>
            <w:shd w:val="clear" w:color="auto" w:fill="auto"/>
            <w:vAlign w:val="center"/>
          </w:tcPr>
          <w:p w14:paraId="0C198173" w14:textId="77777777" w:rsidR="009C552B" w:rsidRPr="00D74874" w:rsidRDefault="009C552B" w:rsidP="00D74874">
            <w:pPr>
              <w:spacing w:line="276" w:lineRule="auto"/>
              <w:jc w:val="center"/>
              <w:rPr>
                <w:b/>
                <w:bCs/>
                <w:caps/>
                <w:color w:val="000000"/>
                <w:sz w:val="22"/>
                <w:szCs w:val="22"/>
              </w:rPr>
            </w:pPr>
            <w:r w:rsidRPr="00D74874">
              <w:rPr>
                <w:bCs/>
                <w:caps/>
                <w:color w:val="000000"/>
                <w:sz w:val="22"/>
                <w:szCs w:val="22"/>
              </w:rPr>
              <w:t>1.50</w:t>
            </w:r>
          </w:p>
        </w:tc>
        <w:tc>
          <w:tcPr>
            <w:tcW w:w="1246" w:type="dxa"/>
            <w:shd w:val="clear" w:color="auto" w:fill="auto"/>
            <w:noWrap/>
            <w:vAlign w:val="center"/>
            <w:hideMark/>
          </w:tcPr>
          <w:p w14:paraId="4987C177" w14:textId="77777777" w:rsidR="009C552B" w:rsidRPr="00D74874" w:rsidRDefault="009C552B" w:rsidP="00D74874">
            <w:pPr>
              <w:spacing w:line="276" w:lineRule="auto"/>
              <w:jc w:val="center"/>
              <w:rPr>
                <w:color w:val="000000"/>
                <w:sz w:val="22"/>
                <w:szCs w:val="22"/>
              </w:rPr>
            </w:pPr>
            <w:r w:rsidRPr="00D74874">
              <w:rPr>
                <w:sz w:val="22"/>
                <w:szCs w:val="22"/>
              </w:rPr>
              <w:t>109 %</w:t>
            </w:r>
          </w:p>
        </w:tc>
        <w:tc>
          <w:tcPr>
            <w:tcW w:w="1246" w:type="dxa"/>
            <w:shd w:val="clear" w:color="auto" w:fill="auto"/>
            <w:noWrap/>
            <w:vAlign w:val="center"/>
            <w:hideMark/>
          </w:tcPr>
          <w:p w14:paraId="7815BDE8" w14:textId="77777777" w:rsidR="009C552B" w:rsidRPr="00D74874" w:rsidRDefault="009C552B" w:rsidP="00D74874">
            <w:pPr>
              <w:spacing w:line="276" w:lineRule="auto"/>
              <w:jc w:val="center"/>
              <w:rPr>
                <w:color w:val="000000"/>
                <w:sz w:val="22"/>
                <w:szCs w:val="22"/>
              </w:rPr>
            </w:pPr>
            <w:r w:rsidRPr="00D74874">
              <w:rPr>
                <w:sz w:val="22"/>
                <w:szCs w:val="22"/>
              </w:rPr>
              <w:t>92 %</w:t>
            </w:r>
          </w:p>
        </w:tc>
        <w:tc>
          <w:tcPr>
            <w:tcW w:w="1246" w:type="dxa"/>
            <w:shd w:val="clear" w:color="auto" w:fill="auto"/>
            <w:vAlign w:val="center"/>
          </w:tcPr>
          <w:p w14:paraId="752358A7" w14:textId="77777777" w:rsidR="009C552B" w:rsidRPr="00D74874" w:rsidRDefault="009C552B" w:rsidP="00D74874">
            <w:pPr>
              <w:spacing w:line="276" w:lineRule="auto"/>
              <w:jc w:val="center"/>
              <w:rPr>
                <w:sz w:val="22"/>
                <w:szCs w:val="22"/>
              </w:rPr>
            </w:pPr>
            <w:r w:rsidRPr="00D74874">
              <w:rPr>
                <w:sz w:val="22"/>
                <w:szCs w:val="22"/>
              </w:rPr>
              <w:t>101 %</w:t>
            </w:r>
          </w:p>
        </w:tc>
        <w:tc>
          <w:tcPr>
            <w:tcW w:w="1246" w:type="dxa"/>
            <w:shd w:val="clear" w:color="auto" w:fill="auto"/>
            <w:noWrap/>
            <w:vAlign w:val="center"/>
            <w:hideMark/>
          </w:tcPr>
          <w:p w14:paraId="680CE3BE" w14:textId="77777777" w:rsidR="009C552B" w:rsidRPr="00D74874" w:rsidRDefault="009C552B" w:rsidP="00D74874">
            <w:pPr>
              <w:spacing w:line="276" w:lineRule="auto"/>
              <w:jc w:val="center"/>
              <w:rPr>
                <w:color w:val="000000"/>
                <w:sz w:val="22"/>
                <w:szCs w:val="22"/>
              </w:rPr>
            </w:pPr>
            <w:r w:rsidRPr="00D74874">
              <w:rPr>
                <w:sz w:val="22"/>
                <w:szCs w:val="22"/>
              </w:rPr>
              <w:t>41 %</w:t>
            </w:r>
          </w:p>
        </w:tc>
        <w:tc>
          <w:tcPr>
            <w:tcW w:w="1246" w:type="dxa"/>
            <w:shd w:val="clear" w:color="auto" w:fill="auto"/>
            <w:noWrap/>
            <w:vAlign w:val="center"/>
            <w:hideMark/>
          </w:tcPr>
          <w:p w14:paraId="5189F193" w14:textId="77777777" w:rsidR="009C552B" w:rsidRPr="00D74874" w:rsidRDefault="009C552B" w:rsidP="00D74874">
            <w:pPr>
              <w:spacing w:line="276" w:lineRule="auto"/>
              <w:jc w:val="center"/>
              <w:rPr>
                <w:color w:val="000000"/>
                <w:sz w:val="22"/>
                <w:szCs w:val="22"/>
              </w:rPr>
            </w:pPr>
            <w:r w:rsidRPr="00D74874">
              <w:rPr>
                <w:sz w:val="22"/>
                <w:szCs w:val="22"/>
              </w:rPr>
              <w:t>120 %</w:t>
            </w:r>
          </w:p>
        </w:tc>
        <w:tc>
          <w:tcPr>
            <w:tcW w:w="1246" w:type="dxa"/>
            <w:shd w:val="clear" w:color="auto" w:fill="auto"/>
            <w:vAlign w:val="center"/>
          </w:tcPr>
          <w:p w14:paraId="3405706A" w14:textId="77777777" w:rsidR="009C552B" w:rsidRPr="00D74874" w:rsidRDefault="009C552B" w:rsidP="00D74874">
            <w:pPr>
              <w:spacing w:line="276" w:lineRule="auto"/>
              <w:jc w:val="center"/>
              <w:rPr>
                <w:color w:val="000000"/>
                <w:sz w:val="22"/>
                <w:szCs w:val="22"/>
              </w:rPr>
            </w:pPr>
            <w:r w:rsidRPr="00D74874">
              <w:rPr>
                <w:sz w:val="22"/>
                <w:szCs w:val="22"/>
              </w:rPr>
              <w:t>4444 %</w:t>
            </w:r>
          </w:p>
        </w:tc>
      </w:tr>
      <w:tr w:rsidR="00D74874" w:rsidRPr="008C7C91" w14:paraId="174A22BD" w14:textId="77777777" w:rsidTr="00D74874">
        <w:trPr>
          <w:trHeight w:val="340"/>
          <w:jc w:val="center"/>
        </w:trPr>
        <w:tc>
          <w:tcPr>
            <w:tcW w:w="916" w:type="dxa"/>
            <w:tcBorders>
              <w:right w:val="single" w:sz="4" w:space="0" w:color="7F7F7F"/>
            </w:tcBorders>
            <w:shd w:val="clear" w:color="auto" w:fill="auto"/>
            <w:vAlign w:val="center"/>
          </w:tcPr>
          <w:p w14:paraId="24B7E062" w14:textId="77777777" w:rsidR="009C552B" w:rsidRPr="00D74874" w:rsidRDefault="009C552B" w:rsidP="00D74874">
            <w:pPr>
              <w:spacing w:line="276" w:lineRule="auto"/>
              <w:jc w:val="center"/>
              <w:rPr>
                <w:b/>
                <w:bCs/>
                <w:caps/>
                <w:color w:val="000000"/>
                <w:sz w:val="22"/>
                <w:szCs w:val="22"/>
              </w:rPr>
            </w:pPr>
            <w:r w:rsidRPr="00D74874">
              <w:rPr>
                <w:bCs/>
                <w:caps/>
                <w:color w:val="000000"/>
                <w:sz w:val="22"/>
                <w:szCs w:val="22"/>
              </w:rPr>
              <w:t>1.75</w:t>
            </w:r>
          </w:p>
        </w:tc>
        <w:tc>
          <w:tcPr>
            <w:tcW w:w="1246" w:type="dxa"/>
            <w:shd w:val="clear" w:color="auto" w:fill="auto"/>
            <w:noWrap/>
            <w:vAlign w:val="center"/>
            <w:hideMark/>
          </w:tcPr>
          <w:p w14:paraId="3D27E8B1" w14:textId="77777777" w:rsidR="009C552B" w:rsidRPr="00D74874" w:rsidRDefault="009C552B" w:rsidP="00D74874">
            <w:pPr>
              <w:spacing w:line="276" w:lineRule="auto"/>
              <w:jc w:val="center"/>
              <w:rPr>
                <w:color w:val="000000"/>
                <w:sz w:val="22"/>
                <w:szCs w:val="22"/>
              </w:rPr>
            </w:pPr>
            <w:r w:rsidRPr="00D74874">
              <w:rPr>
                <w:sz w:val="22"/>
                <w:szCs w:val="22"/>
              </w:rPr>
              <w:t>109 %</w:t>
            </w:r>
          </w:p>
        </w:tc>
        <w:tc>
          <w:tcPr>
            <w:tcW w:w="1246" w:type="dxa"/>
            <w:shd w:val="clear" w:color="auto" w:fill="auto"/>
            <w:noWrap/>
            <w:vAlign w:val="center"/>
            <w:hideMark/>
          </w:tcPr>
          <w:p w14:paraId="3F16A704" w14:textId="77777777" w:rsidR="009C552B" w:rsidRPr="00D74874" w:rsidRDefault="009C552B" w:rsidP="00D74874">
            <w:pPr>
              <w:spacing w:line="276" w:lineRule="auto"/>
              <w:jc w:val="center"/>
              <w:rPr>
                <w:color w:val="000000"/>
                <w:sz w:val="22"/>
                <w:szCs w:val="22"/>
              </w:rPr>
            </w:pPr>
            <w:r w:rsidRPr="00D74874">
              <w:rPr>
                <w:sz w:val="22"/>
                <w:szCs w:val="22"/>
              </w:rPr>
              <w:t>92 %</w:t>
            </w:r>
          </w:p>
        </w:tc>
        <w:tc>
          <w:tcPr>
            <w:tcW w:w="1246" w:type="dxa"/>
            <w:shd w:val="clear" w:color="auto" w:fill="auto"/>
            <w:vAlign w:val="center"/>
          </w:tcPr>
          <w:p w14:paraId="631220B0" w14:textId="77777777" w:rsidR="009C552B" w:rsidRPr="00D74874" w:rsidRDefault="009C552B" w:rsidP="00D74874">
            <w:pPr>
              <w:spacing w:line="276" w:lineRule="auto"/>
              <w:jc w:val="center"/>
              <w:rPr>
                <w:sz w:val="22"/>
                <w:szCs w:val="22"/>
              </w:rPr>
            </w:pPr>
            <w:r w:rsidRPr="00D74874">
              <w:rPr>
                <w:sz w:val="22"/>
                <w:szCs w:val="22"/>
              </w:rPr>
              <w:t>101 %</w:t>
            </w:r>
          </w:p>
        </w:tc>
        <w:tc>
          <w:tcPr>
            <w:tcW w:w="1246" w:type="dxa"/>
            <w:shd w:val="clear" w:color="auto" w:fill="auto"/>
            <w:noWrap/>
            <w:vAlign w:val="center"/>
            <w:hideMark/>
          </w:tcPr>
          <w:p w14:paraId="497CF0C7" w14:textId="77777777" w:rsidR="009C552B" w:rsidRPr="00D74874" w:rsidRDefault="009C552B" w:rsidP="00D74874">
            <w:pPr>
              <w:spacing w:line="276" w:lineRule="auto"/>
              <w:jc w:val="center"/>
              <w:rPr>
                <w:color w:val="000000"/>
                <w:sz w:val="22"/>
                <w:szCs w:val="22"/>
              </w:rPr>
            </w:pPr>
            <w:r w:rsidRPr="00D74874">
              <w:rPr>
                <w:sz w:val="22"/>
                <w:szCs w:val="22"/>
              </w:rPr>
              <w:t>52 %</w:t>
            </w:r>
          </w:p>
        </w:tc>
        <w:tc>
          <w:tcPr>
            <w:tcW w:w="1246" w:type="dxa"/>
            <w:shd w:val="clear" w:color="auto" w:fill="auto"/>
            <w:noWrap/>
            <w:vAlign w:val="center"/>
            <w:hideMark/>
          </w:tcPr>
          <w:p w14:paraId="592DF143" w14:textId="77777777" w:rsidR="009C552B" w:rsidRPr="00D74874" w:rsidRDefault="009C552B" w:rsidP="00D74874">
            <w:pPr>
              <w:spacing w:line="276" w:lineRule="auto"/>
              <w:jc w:val="center"/>
              <w:rPr>
                <w:color w:val="000000"/>
                <w:sz w:val="22"/>
                <w:szCs w:val="22"/>
              </w:rPr>
            </w:pPr>
            <w:r w:rsidRPr="00D74874">
              <w:rPr>
                <w:sz w:val="22"/>
                <w:szCs w:val="22"/>
              </w:rPr>
              <w:t>119 %</w:t>
            </w:r>
          </w:p>
        </w:tc>
        <w:tc>
          <w:tcPr>
            <w:tcW w:w="1246" w:type="dxa"/>
            <w:shd w:val="clear" w:color="auto" w:fill="auto"/>
            <w:vAlign w:val="center"/>
          </w:tcPr>
          <w:p w14:paraId="528D718D" w14:textId="77777777" w:rsidR="009C552B" w:rsidRPr="00D74874" w:rsidRDefault="009C552B" w:rsidP="00D74874">
            <w:pPr>
              <w:spacing w:line="276" w:lineRule="auto"/>
              <w:jc w:val="center"/>
              <w:rPr>
                <w:color w:val="000000"/>
                <w:sz w:val="22"/>
                <w:szCs w:val="22"/>
              </w:rPr>
            </w:pPr>
            <w:r w:rsidRPr="00D74874">
              <w:rPr>
                <w:sz w:val="22"/>
                <w:szCs w:val="22"/>
              </w:rPr>
              <w:t>3264 %</w:t>
            </w:r>
          </w:p>
        </w:tc>
      </w:tr>
      <w:tr w:rsidR="00D74874" w:rsidRPr="008C7C91" w14:paraId="2926E684" w14:textId="77777777" w:rsidTr="00D74874">
        <w:trPr>
          <w:trHeight w:val="340"/>
          <w:jc w:val="center"/>
        </w:trPr>
        <w:tc>
          <w:tcPr>
            <w:tcW w:w="916" w:type="dxa"/>
            <w:tcBorders>
              <w:right w:val="single" w:sz="4" w:space="0" w:color="7F7F7F"/>
            </w:tcBorders>
            <w:shd w:val="clear" w:color="auto" w:fill="auto"/>
            <w:vAlign w:val="center"/>
          </w:tcPr>
          <w:p w14:paraId="12237173" w14:textId="77777777" w:rsidR="009C552B" w:rsidRPr="00D74874" w:rsidRDefault="009C552B" w:rsidP="00D74874">
            <w:pPr>
              <w:spacing w:line="276" w:lineRule="auto"/>
              <w:jc w:val="center"/>
              <w:rPr>
                <w:b/>
                <w:bCs/>
                <w:caps/>
                <w:color w:val="000000"/>
                <w:sz w:val="22"/>
                <w:szCs w:val="22"/>
              </w:rPr>
            </w:pPr>
            <w:r w:rsidRPr="00D74874">
              <w:rPr>
                <w:bCs/>
                <w:caps/>
                <w:color w:val="000000"/>
                <w:sz w:val="22"/>
                <w:szCs w:val="22"/>
              </w:rPr>
              <w:t>2.00</w:t>
            </w:r>
          </w:p>
        </w:tc>
        <w:tc>
          <w:tcPr>
            <w:tcW w:w="1246" w:type="dxa"/>
            <w:shd w:val="clear" w:color="auto" w:fill="auto"/>
            <w:noWrap/>
            <w:vAlign w:val="center"/>
            <w:hideMark/>
          </w:tcPr>
          <w:p w14:paraId="74C3F282" w14:textId="77777777" w:rsidR="009C552B" w:rsidRPr="00D74874" w:rsidRDefault="009C552B" w:rsidP="00D74874">
            <w:pPr>
              <w:spacing w:line="276" w:lineRule="auto"/>
              <w:jc w:val="center"/>
              <w:rPr>
                <w:color w:val="000000"/>
                <w:sz w:val="22"/>
                <w:szCs w:val="22"/>
              </w:rPr>
            </w:pPr>
            <w:r w:rsidRPr="00D74874">
              <w:rPr>
                <w:sz w:val="22"/>
                <w:szCs w:val="22"/>
              </w:rPr>
              <w:t>109 %</w:t>
            </w:r>
          </w:p>
        </w:tc>
        <w:tc>
          <w:tcPr>
            <w:tcW w:w="1246" w:type="dxa"/>
            <w:shd w:val="clear" w:color="auto" w:fill="auto"/>
            <w:noWrap/>
            <w:vAlign w:val="center"/>
            <w:hideMark/>
          </w:tcPr>
          <w:p w14:paraId="1C3B6C1A" w14:textId="77777777" w:rsidR="009C552B" w:rsidRPr="00D74874" w:rsidRDefault="009C552B" w:rsidP="00D74874">
            <w:pPr>
              <w:spacing w:line="276" w:lineRule="auto"/>
              <w:jc w:val="center"/>
              <w:rPr>
                <w:color w:val="000000"/>
                <w:sz w:val="22"/>
                <w:szCs w:val="22"/>
              </w:rPr>
            </w:pPr>
            <w:r w:rsidRPr="00D74874">
              <w:rPr>
                <w:sz w:val="22"/>
                <w:szCs w:val="22"/>
              </w:rPr>
              <w:t>93 %</w:t>
            </w:r>
          </w:p>
        </w:tc>
        <w:tc>
          <w:tcPr>
            <w:tcW w:w="1246" w:type="dxa"/>
            <w:shd w:val="clear" w:color="auto" w:fill="auto"/>
            <w:vAlign w:val="center"/>
          </w:tcPr>
          <w:p w14:paraId="2EAED320" w14:textId="77777777" w:rsidR="009C552B" w:rsidRPr="00D74874" w:rsidRDefault="009C552B" w:rsidP="00D74874">
            <w:pPr>
              <w:spacing w:line="276" w:lineRule="auto"/>
              <w:jc w:val="center"/>
              <w:rPr>
                <w:sz w:val="22"/>
                <w:szCs w:val="22"/>
              </w:rPr>
            </w:pPr>
            <w:r w:rsidRPr="00D74874">
              <w:rPr>
                <w:sz w:val="22"/>
                <w:szCs w:val="22"/>
              </w:rPr>
              <w:t>101 %</w:t>
            </w:r>
          </w:p>
        </w:tc>
        <w:tc>
          <w:tcPr>
            <w:tcW w:w="1246" w:type="dxa"/>
            <w:shd w:val="clear" w:color="auto" w:fill="auto"/>
            <w:noWrap/>
            <w:vAlign w:val="center"/>
            <w:hideMark/>
          </w:tcPr>
          <w:p w14:paraId="03E63684" w14:textId="77777777" w:rsidR="009C552B" w:rsidRPr="00D74874" w:rsidRDefault="009C552B" w:rsidP="00D74874">
            <w:pPr>
              <w:spacing w:line="276" w:lineRule="auto"/>
              <w:jc w:val="center"/>
              <w:rPr>
                <w:color w:val="000000"/>
                <w:sz w:val="22"/>
                <w:szCs w:val="22"/>
              </w:rPr>
            </w:pPr>
            <w:r w:rsidRPr="00D74874">
              <w:rPr>
                <w:sz w:val="22"/>
                <w:szCs w:val="22"/>
              </w:rPr>
              <w:t>60 %</w:t>
            </w:r>
          </w:p>
        </w:tc>
        <w:tc>
          <w:tcPr>
            <w:tcW w:w="1246" w:type="dxa"/>
            <w:shd w:val="clear" w:color="auto" w:fill="auto"/>
            <w:noWrap/>
            <w:vAlign w:val="center"/>
            <w:hideMark/>
          </w:tcPr>
          <w:p w14:paraId="31C608CC" w14:textId="77777777" w:rsidR="009C552B" w:rsidRPr="00D74874" w:rsidRDefault="009C552B" w:rsidP="00D74874">
            <w:pPr>
              <w:spacing w:line="276" w:lineRule="auto"/>
              <w:jc w:val="center"/>
              <w:rPr>
                <w:color w:val="000000"/>
                <w:sz w:val="22"/>
                <w:szCs w:val="22"/>
              </w:rPr>
            </w:pPr>
            <w:r w:rsidRPr="00D74874">
              <w:rPr>
                <w:sz w:val="22"/>
                <w:szCs w:val="22"/>
              </w:rPr>
              <w:t>118 %</w:t>
            </w:r>
          </w:p>
        </w:tc>
        <w:tc>
          <w:tcPr>
            <w:tcW w:w="1246" w:type="dxa"/>
            <w:shd w:val="clear" w:color="auto" w:fill="auto"/>
            <w:vAlign w:val="center"/>
          </w:tcPr>
          <w:p w14:paraId="154C3F59" w14:textId="77777777" w:rsidR="009C552B" w:rsidRPr="00D74874" w:rsidRDefault="009C552B" w:rsidP="00D74874">
            <w:pPr>
              <w:spacing w:line="276" w:lineRule="auto"/>
              <w:jc w:val="center"/>
              <w:rPr>
                <w:color w:val="000000"/>
                <w:sz w:val="22"/>
                <w:szCs w:val="22"/>
              </w:rPr>
            </w:pPr>
            <w:r w:rsidRPr="00D74874">
              <w:rPr>
                <w:sz w:val="22"/>
                <w:szCs w:val="22"/>
              </w:rPr>
              <w:t>2502 %</w:t>
            </w:r>
          </w:p>
        </w:tc>
      </w:tr>
      <w:tr w:rsidR="00D74874" w:rsidRPr="008C7C91" w14:paraId="0DCFF398" w14:textId="77777777" w:rsidTr="00D74874">
        <w:trPr>
          <w:trHeight w:val="340"/>
          <w:jc w:val="center"/>
        </w:trPr>
        <w:tc>
          <w:tcPr>
            <w:tcW w:w="916" w:type="dxa"/>
            <w:tcBorders>
              <w:right w:val="single" w:sz="4" w:space="0" w:color="7F7F7F"/>
            </w:tcBorders>
            <w:shd w:val="clear" w:color="auto" w:fill="auto"/>
            <w:vAlign w:val="center"/>
          </w:tcPr>
          <w:p w14:paraId="54661DBC" w14:textId="77777777" w:rsidR="009C552B" w:rsidRPr="00D74874" w:rsidRDefault="009C552B" w:rsidP="00D74874">
            <w:pPr>
              <w:spacing w:line="276" w:lineRule="auto"/>
              <w:jc w:val="center"/>
              <w:rPr>
                <w:b/>
                <w:bCs/>
                <w:caps/>
                <w:color w:val="000000"/>
                <w:sz w:val="22"/>
                <w:szCs w:val="22"/>
              </w:rPr>
            </w:pPr>
            <w:r w:rsidRPr="00D74874">
              <w:rPr>
                <w:bCs/>
                <w:caps/>
                <w:color w:val="000000"/>
                <w:sz w:val="22"/>
                <w:szCs w:val="22"/>
              </w:rPr>
              <w:t>2.25</w:t>
            </w:r>
          </w:p>
        </w:tc>
        <w:tc>
          <w:tcPr>
            <w:tcW w:w="1246" w:type="dxa"/>
            <w:shd w:val="clear" w:color="auto" w:fill="auto"/>
            <w:noWrap/>
            <w:vAlign w:val="center"/>
            <w:hideMark/>
          </w:tcPr>
          <w:p w14:paraId="6C8F8F95" w14:textId="77777777" w:rsidR="009C552B" w:rsidRPr="00D74874" w:rsidRDefault="009C552B" w:rsidP="00D74874">
            <w:pPr>
              <w:spacing w:line="276" w:lineRule="auto"/>
              <w:jc w:val="center"/>
              <w:rPr>
                <w:color w:val="000000"/>
                <w:sz w:val="22"/>
                <w:szCs w:val="22"/>
              </w:rPr>
            </w:pPr>
            <w:r w:rsidRPr="00D74874">
              <w:rPr>
                <w:sz w:val="22"/>
                <w:szCs w:val="22"/>
              </w:rPr>
              <w:t>109 %</w:t>
            </w:r>
          </w:p>
        </w:tc>
        <w:tc>
          <w:tcPr>
            <w:tcW w:w="1246" w:type="dxa"/>
            <w:shd w:val="clear" w:color="auto" w:fill="auto"/>
            <w:noWrap/>
            <w:vAlign w:val="center"/>
            <w:hideMark/>
          </w:tcPr>
          <w:p w14:paraId="5A84429C" w14:textId="77777777" w:rsidR="009C552B" w:rsidRPr="00D74874" w:rsidRDefault="009C552B" w:rsidP="00D74874">
            <w:pPr>
              <w:spacing w:line="276" w:lineRule="auto"/>
              <w:jc w:val="center"/>
              <w:rPr>
                <w:color w:val="000000"/>
                <w:sz w:val="22"/>
                <w:szCs w:val="22"/>
              </w:rPr>
            </w:pPr>
            <w:r w:rsidRPr="00D74874">
              <w:rPr>
                <w:sz w:val="22"/>
                <w:szCs w:val="22"/>
              </w:rPr>
              <w:t>93 %</w:t>
            </w:r>
          </w:p>
        </w:tc>
        <w:tc>
          <w:tcPr>
            <w:tcW w:w="1246" w:type="dxa"/>
            <w:shd w:val="clear" w:color="auto" w:fill="auto"/>
            <w:vAlign w:val="center"/>
          </w:tcPr>
          <w:p w14:paraId="1EFC41B3" w14:textId="77777777" w:rsidR="009C552B" w:rsidRPr="00D74874" w:rsidRDefault="009C552B" w:rsidP="00D74874">
            <w:pPr>
              <w:spacing w:line="276" w:lineRule="auto"/>
              <w:jc w:val="center"/>
              <w:rPr>
                <w:sz w:val="22"/>
                <w:szCs w:val="22"/>
              </w:rPr>
            </w:pPr>
            <w:r w:rsidRPr="00D74874">
              <w:rPr>
                <w:sz w:val="22"/>
                <w:szCs w:val="22"/>
              </w:rPr>
              <w:t>101 %</w:t>
            </w:r>
          </w:p>
        </w:tc>
        <w:tc>
          <w:tcPr>
            <w:tcW w:w="1246" w:type="dxa"/>
            <w:shd w:val="clear" w:color="auto" w:fill="auto"/>
            <w:noWrap/>
            <w:vAlign w:val="center"/>
            <w:hideMark/>
          </w:tcPr>
          <w:p w14:paraId="4E714080" w14:textId="77777777" w:rsidR="009C552B" w:rsidRPr="00D74874" w:rsidRDefault="009C552B" w:rsidP="00D74874">
            <w:pPr>
              <w:spacing w:line="276" w:lineRule="auto"/>
              <w:jc w:val="center"/>
              <w:rPr>
                <w:color w:val="000000"/>
                <w:sz w:val="22"/>
                <w:szCs w:val="22"/>
              </w:rPr>
            </w:pPr>
            <w:r w:rsidRPr="00D74874">
              <w:rPr>
                <w:sz w:val="22"/>
                <w:szCs w:val="22"/>
              </w:rPr>
              <w:t>67 %</w:t>
            </w:r>
          </w:p>
        </w:tc>
        <w:tc>
          <w:tcPr>
            <w:tcW w:w="1246" w:type="dxa"/>
            <w:shd w:val="clear" w:color="auto" w:fill="auto"/>
            <w:noWrap/>
            <w:vAlign w:val="center"/>
            <w:hideMark/>
          </w:tcPr>
          <w:p w14:paraId="69C44B7C" w14:textId="77777777" w:rsidR="009C552B" w:rsidRPr="00D74874" w:rsidRDefault="009C552B" w:rsidP="00D74874">
            <w:pPr>
              <w:spacing w:line="276" w:lineRule="auto"/>
              <w:jc w:val="center"/>
              <w:rPr>
                <w:color w:val="000000"/>
                <w:sz w:val="22"/>
                <w:szCs w:val="22"/>
              </w:rPr>
            </w:pPr>
            <w:r w:rsidRPr="00D74874">
              <w:rPr>
                <w:sz w:val="22"/>
                <w:szCs w:val="22"/>
              </w:rPr>
              <w:t>118 %</w:t>
            </w:r>
          </w:p>
        </w:tc>
        <w:tc>
          <w:tcPr>
            <w:tcW w:w="1246" w:type="dxa"/>
            <w:shd w:val="clear" w:color="auto" w:fill="auto"/>
            <w:vAlign w:val="center"/>
          </w:tcPr>
          <w:p w14:paraId="2A90BDD9" w14:textId="77777777" w:rsidR="009C552B" w:rsidRPr="00D74874" w:rsidRDefault="009C552B" w:rsidP="00D74874">
            <w:pPr>
              <w:spacing w:line="276" w:lineRule="auto"/>
              <w:jc w:val="center"/>
              <w:rPr>
                <w:color w:val="000000"/>
                <w:sz w:val="22"/>
                <w:szCs w:val="22"/>
              </w:rPr>
            </w:pPr>
            <w:r w:rsidRPr="00D74874">
              <w:rPr>
                <w:sz w:val="22"/>
                <w:szCs w:val="22"/>
              </w:rPr>
              <w:t>1975 %</w:t>
            </w:r>
          </w:p>
        </w:tc>
      </w:tr>
      <w:tr w:rsidR="00D74874" w:rsidRPr="008C7C91" w14:paraId="6A50286C" w14:textId="77777777" w:rsidTr="00D74874">
        <w:trPr>
          <w:trHeight w:val="340"/>
          <w:jc w:val="center"/>
        </w:trPr>
        <w:tc>
          <w:tcPr>
            <w:tcW w:w="916" w:type="dxa"/>
            <w:tcBorders>
              <w:bottom w:val="single" w:sz="4" w:space="0" w:color="auto"/>
              <w:right w:val="single" w:sz="4" w:space="0" w:color="7F7F7F"/>
            </w:tcBorders>
            <w:shd w:val="clear" w:color="auto" w:fill="auto"/>
            <w:vAlign w:val="center"/>
          </w:tcPr>
          <w:p w14:paraId="7DC0C5D0" w14:textId="77777777" w:rsidR="009C552B" w:rsidRPr="00D74874" w:rsidRDefault="009C552B" w:rsidP="00D74874">
            <w:pPr>
              <w:spacing w:line="276" w:lineRule="auto"/>
              <w:jc w:val="center"/>
              <w:rPr>
                <w:b/>
                <w:bCs/>
                <w:caps/>
                <w:color w:val="000000"/>
                <w:sz w:val="22"/>
                <w:szCs w:val="22"/>
              </w:rPr>
            </w:pPr>
            <w:r w:rsidRPr="00D74874">
              <w:rPr>
                <w:bCs/>
                <w:caps/>
                <w:color w:val="000000"/>
                <w:sz w:val="22"/>
                <w:szCs w:val="22"/>
              </w:rPr>
              <w:t>10.00</w:t>
            </w:r>
          </w:p>
        </w:tc>
        <w:tc>
          <w:tcPr>
            <w:tcW w:w="1246" w:type="dxa"/>
            <w:tcBorders>
              <w:bottom w:val="single" w:sz="4" w:space="0" w:color="auto"/>
            </w:tcBorders>
            <w:shd w:val="clear" w:color="auto" w:fill="auto"/>
            <w:noWrap/>
            <w:vAlign w:val="center"/>
            <w:hideMark/>
          </w:tcPr>
          <w:p w14:paraId="6771B439" w14:textId="77777777" w:rsidR="009C552B" w:rsidRPr="00D74874" w:rsidRDefault="009C552B" w:rsidP="00D74874">
            <w:pPr>
              <w:spacing w:line="276" w:lineRule="auto"/>
              <w:jc w:val="center"/>
              <w:rPr>
                <w:color w:val="000000"/>
                <w:sz w:val="22"/>
                <w:szCs w:val="22"/>
              </w:rPr>
            </w:pPr>
            <w:r w:rsidRPr="00D74874">
              <w:rPr>
                <w:sz w:val="22"/>
                <w:szCs w:val="22"/>
              </w:rPr>
              <w:t>100 %</w:t>
            </w:r>
          </w:p>
        </w:tc>
        <w:tc>
          <w:tcPr>
            <w:tcW w:w="1246" w:type="dxa"/>
            <w:tcBorders>
              <w:bottom w:val="single" w:sz="4" w:space="0" w:color="auto"/>
            </w:tcBorders>
            <w:shd w:val="clear" w:color="auto" w:fill="auto"/>
            <w:noWrap/>
            <w:vAlign w:val="center"/>
            <w:hideMark/>
          </w:tcPr>
          <w:p w14:paraId="101BCBB2" w14:textId="77777777" w:rsidR="009C552B" w:rsidRPr="00D74874" w:rsidRDefault="009C552B" w:rsidP="00D74874">
            <w:pPr>
              <w:spacing w:line="276" w:lineRule="auto"/>
              <w:jc w:val="center"/>
              <w:rPr>
                <w:color w:val="000000"/>
                <w:sz w:val="22"/>
                <w:szCs w:val="22"/>
              </w:rPr>
            </w:pPr>
            <w:r w:rsidRPr="00D74874">
              <w:rPr>
                <w:sz w:val="22"/>
                <w:szCs w:val="22"/>
              </w:rPr>
              <w:t>100 %</w:t>
            </w:r>
          </w:p>
        </w:tc>
        <w:tc>
          <w:tcPr>
            <w:tcW w:w="1246" w:type="dxa"/>
            <w:tcBorders>
              <w:bottom w:val="single" w:sz="4" w:space="0" w:color="auto"/>
            </w:tcBorders>
            <w:shd w:val="clear" w:color="auto" w:fill="auto"/>
            <w:vAlign w:val="center"/>
          </w:tcPr>
          <w:p w14:paraId="15622F1A" w14:textId="77777777" w:rsidR="009C552B" w:rsidRPr="00D74874" w:rsidRDefault="009C552B" w:rsidP="00D74874">
            <w:pPr>
              <w:spacing w:line="276" w:lineRule="auto"/>
              <w:jc w:val="center"/>
              <w:rPr>
                <w:sz w:val="22"/>
                <w:szCs w:val="22"/>
              </w:rPr>
            </w:pPr>
            <w:r w:rsidRPr="00D74874">
              <w:rPr>
                <w:sz w:val="22"/>
                <w:szCs w:val="22"/>
              </w:rPr>
              <w:t>100 %</w:t>
            </w:r>
          </w:p>
        </w:tc>
        <w:tc>
          <w:tcPr>
            <w:tcW w:w="1246" w:type="dxa"/>
            <w:tcBorders>
              <w:bottom w:val="single" w:sz="4" w:space="0" w:color="auto"/>
            </w:tcBorders>
            <w:shd w:val="clear" w:color="auto" w:fill="auto"/>
            <w:noWrap/>
            <w:vAlign w:val="center"/>
            <w:hideMark/>
          </w:tcPr>
          <w:p w14:paraId="72B5BE33" w14:textId="77777777" w:rsidR="009C552B" w:rsidRPr="00D74874" w:rsidRDefault="009C552B" w:rsidP="00D74874">
            <w:pPr>
              <w:spacing w:line="276" w:lineRule="auto"/>
              <w:jc w:val="center"/>
              <w:rPr>
                <w:color w:val="000000"/>
                <w:sz w:val="22"/>
                <w:szCs w:val="22"/>
              </w:rPr>
            </w:pPr>
            <w:r w:rsidRPr="00D74874">
              <w:rPr>
                <w:sz w:val="22"/>
                <w:szCs w:val="22"/>
              </w:rPr>
              <w:t>100 %</w:t>
            </w:r>
          </w:p>
        </w:tc>
        <w:tc>
          <w:tcPr>
            <w:tcW w:w="1246" w:type="dxa"/>
            <w:tcBorders>
              <w:bottom w:val="single" w:sz="4" w:space="0" w:color="auto"/>
            </w:tcBorders>
            <w:shd w:val="clear" w:color="auto" w:fill="auto"/>
            <w:noWrap/>
            <w:vAlign w:val="center"/>
            <w:hideMark/>
          </w:tcPr>
          <w:p w14:paraId="414EAEDA" w14:textId="77777777" w:rsidR="009C552B" w:rsidRPr="00D74874" w:rsidRDefault="009C552B" w:rsidP="00D74874">
            <w:pPr>
              <w:spacing w:line="276" w:lineRule="auto"/>
              <w:jc w:val="center"/>
              <w:rPr>
                <w:color w:val="000000"/>
                <w:sz w:val="22"/>
                <w:szCs w:val="22"/>
              </w:rPr>
            </w:pPr>
            <w:r w:rsidRPr="00D74874">
              <w:rPr>
                <w:sz w:val="22"/>
                <w:szCs w:val="22"/>
              </w:rPr>
              <w:t>100 %</w:t>
            </w:r>
          </w:p>
        </w:tc>
        <w:tc>
          <w:tcPr>
            <w:tcW w:w="1246" w:type="dxa"/>
            <w:tcBorders>
              <w:bottom w:val="single" w:sz="4" w:space="0" w:color="auto"/>
            </w:tcBorders>
            <w:shd w:val="clear" w:color="auto" w:fill="auto"/>
            <w:vAlign w:val="center"/>
          </w:tcPr>
          <w:p w14:paraId="0296B2A5" w14:textId="77777777" w:rsidR="009C552B" w:rsidRPr="00D74874" w:rsidRDefault="009C552B" w:rsidP="00D74874">
            <w:pPr>
              <w:spacing w:line="276" w:lineRule="auto"/>
              <w:jc w:val="center"/>
              <w:rPr>
                <w:color w:val="000000"/>
                <w:sz w:val="22"/>
                <w:szCs w:val="22"/>
              </w:rPr>
            </w:pPr>
            <w:r w:rsidRPr="00D74874">
              <w:rPr>
                <w:sz w:val="22"/>
                <w:szCs w:val="22"/>
              </w:rPr>
              <w:t>100 %</w:t>
            </w:r>
          </w:p>
        </w:tc>
      </w:tr>
    </w:tbl>
    <w:p w14:paraId="202BB831" w14:textId="77777777" w:rsidR="009C552B" w:rsidRDefault="009C552B" w:rsidP="009C552B"/>
    <w:p w14:paraId="6327C357" w14:textId="77777777" w:rsidR="009C552B" w:rsidRDefault="009C552B" w:rsidP="009C552B">
      <w:pPr>
        <w:pStyle w:val="Heading2"/>
        <w:ind w:firstLine="720"/>
        <w:jc w:val="both"/>
        <w:rPr>
          <w:rFonts w:ascii="Times New Roman" w:hAnsi="Times New Roman"/>
          <w:b w:val="0"/>
          <w:i w:val="0"/>
          <w:sz w:val="20"/>
        </w:rPr>
      </w:pPr>
      <w:r w:rsidRPr="009C552B">
        <w:rPr>
          <w:rFonts w:ascii="Times New Roman" w:hAnsi="Times New Roman"/>
          <w:b w:val="0"/>
          <w:i w:val="0"/>
          <w:sz w:val="20"/>
        </w:rPr>
        <w:t xml:space="preserve">Our baseline scenario confirms that the output increases and the price decreases as the rate of return regulation becomes more stringent. As a result, the consumer surplus increases. While the total revenue increases modestly, the monopoly profit decreases. However, the simulation also confirms the </w:t>
      </w:r>
      <w:proofErr w:type="spellStart"/>
      <w:r w:rsidRPr="009C552B">
        <w:rPr>
          <w:rFonts w:ascii="Times New Roman" w:hAnsi="Times New Roman"/>
          <w:b w:val="0"/>
          <w:i w:val="0"/>
          <w:sz w:val="20"/>
        </w:rPr>
        <w:t>Averch</w:t>
      </w:r>
      <w:proofErr w:type="spellEnd"/>
      <w:r w:rsidRPr="009C552B">
        <w:rPr>
          <w:rFonts w:ascii="Times New Roman" w:hAnsi="Times New Roman"/>
          <w:b w:val="0"/>
          <w:i w:val="0"/>
          <w:sz w:val="20"/>
        </w:rPr>
        <w:t>-Johnson effect: the capital intensity dramatically increases as the monopoly responds to the regulation.</w:t>
      </w:r>
    </w:p>
    <w:p w14:paraId="41F3B5C4" w14:textId="77777777" w:rsidR="009C552B" w:rsidRPr="009C552B" w:rsidRDefault="009C552B" w:rsidP="009C552B"/>
    <w:p w14:paraId="6C412613" w14:textId="4845EB12" w:rsidR="00DC69F1" w:rsidRPr="00D767DA" w:rsidRDefault="00DC69F1">
      <w:pPr>
        <w:pStyle w:val="Heading2"/>
        <w:jc w:val="both"/>
        <w:rPr>
          <w:i w:val="0"/>
          <w:sz w:val="24"/>
          <w:szCs w:val="24"/>
        </w:rPr>
      </w:pPr>
      <w:r w:rsidRPr="00D767DA">
        <w:rPr>
          <w:i w:val="0"/>
          <w:sz w:val="24"/>
          <w:szCs w:val="24"/>
        </w:rPr>
        <w:t>Conclusions</w:t>
      </w:r>
    </w:p>
    <w:p w14:paraId="2D2401C8" w14:textId="1882FC55" w:rsidR="009C552B" w:rsidRDefault="009C552B" w:rsidP="009C552B">
      <w:pPr>
        <w:pStyle w:val="Heading2"/>
        <w:jc w:val="both"/>
        <w:rPr>
          <w:rFonts w:ascii="Times New Roman" w:hAnsi="Times New Roman"/>
          <w:b w:val="0"/>
          <w:i w:val="0"/>
          <w:sz w:val="20"/>
        </w:rPr>
      </w:pPr>
      <w:r w:rsidRPr="009C552B">
        <w:rPr>
          <w:rFonts w:ascii="Times New Roman" w:hAnsi="Times New Roman"/>
          <w:b w:val="0"/>
          <w:i w:val="0"/>
          <w:sz w:val="20"/>
        </w:rPr>
        <w:t xml:space="preserve">The seminal article by </w:t>
      </w:r>
      <w:proofErr w:type="spellStart"/>
      <w:r w:rsidRPr="009C552B">
        <w:rPr>
          <w:rFonts w:ascii="Times New Roman" w:hAnsi="Times New Roman"/>
          <w:b w:val="0"/>
          <w:i w:val="0"/>
          <w:sz w:val="20"/>
        </w:rPr>
        <w:t>Averch</w:t>
      </w:r>
      <w:proofErr w:type="spellEnd"/>
      <w:r w:rsidRPr="009C552B">
        <w:rPr>
          <w:rFonts w:ascii="Times New Roman" w:hAnsi="Times New Roman"/>
          <w:b w:val="0"/>
          <w:i w:val="0"/>
          <w:sz w:val="20"/>
        </w:rPr>
        <w:t xml:space="preserve"> and Johnson (1968) has had a major impact on economic thinking and the regulation practice. Emphasizing the distortionary effects of regulation, this study has contributed to deregulation of monopolies worldwide. While the </w:t>
      </w:r>
      <w:proofErr w:type="spellStart"/>
      <w:r w:rsidRPr="009C552B">
        <w:rPr>
          <w:rFonts w:ascii="Times New Roman" w:hAnsi="Times New Roman"/>
          <w:b w:val="0"/>
          <w:i w:val="0"/>
          <w:sz w:val="20"/>
        </w:rPr>
        <w:t>Averch</w:t>
      </w:r>
      <w:proofErr w:type="spellEnd"/>
      <w:r w:rsidRPr="009C552B">
        <w:rPr>
          <w:rFonts w:ascii="Times New Roman" w:hAnsi="Times New Roman"/>
          <w:b w:val="0"/>
          <w:i w:val="0"/>
          <w:sz w:val="20"/>
        </w:rPr>
        <w:t xml:space="preserve">-Johnson argument is correct, for the sake of balance, the benefits of regulation should not be forgotten. In this paper we have re-examined the </w:t>
      </w:r>
      <w:proofErr w:type="spellStart"/>
      <w:r w:rsidRPr="009C552B">
        <w:rPr>
          <w:rFonts w:ascii="Times New Roman" w:hAnsi="Times New Roman"/>
          <w:b w:val="0"/>
          <w:i w:val="0"/>
          <w:sz w:val="20"/>
        </w:rPr>
        <w:t>Averch</w:t>
      </w:r>
      <w:proofErr w:type="spellEnd"/>
      <w:r w:rsidRPr="009C552B">
        <w:rPr>
          <w:rFonts w:ascii="Times New Roman" w:hAnsi="Times New Roman"/>
          <w:b w:val="0"/>
          <w:i w:val="0"/>
          <w:sz w:val="20"/>
        </w:rPr>
        <w:t xml:space="preserve">-Johnson model by means of numerical simulations, showing that rate of return regulation has several desirable effects, as the regulation generally decreases the consumer price and the monopoly profit while increasing the output and the consumer surplus compared to the unregulated monopoly. In the absence of better regulatory instruments, the simple rate of return regulation offers clear benefits compared to an unregulated monopoly. </w:t>
      </w:r>
    </w:p>
    <w:p w14:paraId="085D6AC1" w14:textId="08A7EC61" w:rsidR="00DC69F1" w:rsidRPr="00D767DA" w:rsidRDefault="00DC69F1" w:rsidP="009C552B">
      <w:pPr>
        <w:pStyle w:val="Heading2"/>
        <w:rPr>
          <w:i w:val="0"/>
          <w:sz w:val="24"/>
          <w:szCs w:val="24"/>
        </w:rPr>
      </w:pPr>
      <w:r w:rsidRPr="00D767DA">
        <w:rPr>
          <w:i w:val="0"/>
          <w:sz w:val="24"/>
          <w:szCs w:val="24"/>
        </w:rPr>
        <w:t>References</w:t>
      </w:r>
    </w:p>
    <w:p w14:paraId="3B4A02B0" w14:textId="77777777" w:rsidR="009C552B" w:rsidRDefault="009C552B" w:rsidP="004941F4">
      <w:pPr>
        <w:pStyle w:val="BodyText2"/>
        <w:spacing w:after="200"/>
        <w:jc w:val="left"/>
      </w:pPr>
    </w:p>
    <w:p w14:paraId="6D540A8F" w14:textId="63011330" w:rsidR="009C552B" w:rsidRDefault="009C552B" w:rsidP="004941F4">
      <w:pPr>
        <w:pStyle w:val="BodyText2"/>
        <w:spacing w:after="200"/>
        <w:jc w:val="left"/>
      </w:pPr>
      <w:bookmarkStart w:id="0" w:name="_GoBack"/>
      <w:bookmarkEnd w:id="0"/>
      <w:proofErr w:type="spellStart"/>
      <w:r w:rsidRPr="009C552B">
        <w:t>Averch</w:t>
      </w:r>
      <w:proofErr w:type="spellEnd"/>
      <w:r w:rsidRPr="009C552B">
        <w:t xml:space="preserve">, H., and Johnson, L.L., 1962. </w:t>
      </w:r>
      <w:proofErr w:type="spellStart"/>
      <w:r w:rsidRPr="009C552B">
        <w:t>Behavior</w:t>
      </w:r>
      <w:proofErr w:type="spellEnd"/>
      <w:r w:rsidRPr="009C552B">
        <w:t xml:space="preserve"> of the firm under regulatory constraint. </w:t>
      </w:r>
      <w:r w:rsidRPr="009C552B">
        <w:rPr>
          <w:i/>
        </w:rPr>
        <w:t>American Economic Review</w:t>
      </w:r>
      <w:r w:rsidRPr="009C552B">
        <w:t xml:space="preserve"> 52, 1052-1069.</w:t>
      </w:r>
    </w:p>
    <w:p w14:paraId="0232695F" w14:textId="77777777" w:rsidR="009C552B" w:rsidRDefault="009C552B" w:rsidP="004941F4">
      <w:pPr>
        <w:pStyle w:val="BodyText2"/>
        <w:spacing w:after="200"/>
        <w:jc w:val="left"/>
      </w:pPr>
      <w:proofErr w:type="spellStart"/>
      <w:r w:rsidRPr="009C552B">
        <w:t>Cicala</w:t>
      </w:r>
      <w:proofErr w:type="spellEnd"/>
      <w:r w:rsidRPr="009C552B">
        <w:t xml:space="preserve">, S., 2015. When does regulation distort costs? Lessons from fuel procurement in US electricity generation, </w:t>
      </w:r>
      <w:r w:rsidRPr="009C552B">
        <w:rPr>
          <w:i/>
        </w:rPr>
        <w:t>American Economic Review</w:t>
      </w:r>
      <w:r w:rsidRPr="009C552B">
        <w:t xml:space="preserve"> 105(1), 411-444.</w:t>
      </w:r>
    </w:p>
    <w:p w14:paraId="00ED107B" w14:textId="751A04AD" w:rsidR="009C552B" w:rsidRPr="004941F4" w:rsidRDefault="009C552B" w:rsidP="004941F4">
      <w:pPr>
        <w:pStyle w:val="BodyText2"/>
        <w:spacing w:after="200"/>
        <w:jc w:val="left"/>
      </w:pPr>
      <w:r w:rsidRPr="009C552B">
        <w:t xml:space="preserve">Spann, R.M., 1974. Rate of return regulation and efficiency in production: An empirical test of the </w:t>
      </w:r>
      <w:proofErr w:type="spellStart"/>
      <w:r w:rsidRPr="009C552B">
        <w:t>Averch</w:t>
      </w:r>
      <w:proofErr w:type="spellEnd"/>
      <w:r w:rsidRPr="009C552B">
        <w:t xml:space="preserve">-Johnson thesis. </w:t>
      </w:r>
      <w:r w:rsidRPr="009C552B">
        <w:rPr>
          <w:i/>
        </w:rPr>
        <w:t>The Bell Journal of Economics and Management Science</w:t>
      </w:r>
      <w:r w:rsidRPr="009C552B">
        <w:t xml:space="preserve"> 5, 38-52.</w:t>
      </w:r>
    </w:p>
    <w:sectPr w:rsidR="009C552B" w:rsidRPr="004941F4" w:rsidSect="00FC73E0">
      <w:headerReference w:type="first" r:id="rId7"/>
      <w:type w:val="continuous"/>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7F625" w14:textId="77777777" w:rsidR="00D74874" w:rsidRDefault="00D74874">
      <w:r>
        <w:separator/>
      </w:r>
    </w:p>
  </w:endnote>
  <w:endnote w:type="continuationSeparator" w:id="0">
    <w:p w14:paraId="7AAC9821" w14:textId="77777777" w:rsidR="00D74874" w:rsidRDefault="00D74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D0DA8" w14:textId="77777777" w:rsidR="00D74874" w:rsidRDefault="00D74874">
      <w:r>
        <w:separator/>
      </w:r>
    </w:p>
  </w:footnote>
  <w:footnote w:type="continuationSeparator" w:id="0">
    <w:p w14:paraId="1E2F5C44" w14:textId="77777777" w:rsidR="00D74874" w:rsidRDefault="00D74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486FB" w14:textId="77777777" w:rsidR="005A5112" w:rsidRDefault="005A5112" w:rsidP="00DC69F1">
    <w:pPr>
      <w:pStyle w:val="Header"/>
      <w:tabs>
        <w:tab w:val="clear" w:pos="5400"/>
        <w:tab w:val="center" w:pos="851"/>
      </w:tabs>
      <w:jc w:val="right"/>
    </w:pPr>
    <w:r>
      <w:rPr>
        <w:lang w:val="en-US"/>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01E0D"/>
    <w:multiLevelType w:val="singleLevel"/>
    <w:tmpl w:val="17E28CCC"/>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0A41059"/>
    <w:multiLevelType w:val="singleLevel"/>
    <w:tmpl w:val="B4D86B60"/>
    <w:lvl w:ilvl="0">
      <w:start w:val="1"/>
      <w:numFmt w:val="decimal"/>
      <w:lvlText w:val="%1."/>
      <w:lvlJc w:val="left"/>
      <w:pPr>
        <w:tabs>
          <w:tab w:val="num" w:pos="723"/>
        </w:tabs>
        <w:ind w:left="723" w:hanging="435"/>
      </w:pPr>
      <w:rPr>
        <w:rFonts w:hint="default"/>
      </w:rPr>
    </w:lvl>
  </w:abstractNum>
  <w:abstractNum w:abstractNumId="2" w15:restartNumberingAfterBreak="0">
    <w:nsid w:val="10E67A70"/>
    <w:multiLevelType w:val="singleLevel"/>
    <w:tmpl w:val="DEDEAE42"/>
    <w:lvl w:ilvl="0">
      <w:start w:val="1"/>
      <w:numFmt w:val="decimal"/>
      <w:lvlText w:val="%1"/>
      <w:lvlJc w:val="left"/>
      <w:pPr>
        <w:tabs>
          <w:tab w:val="num" w:pos="720"/>
        </w:tabs>
        <w:ind w:left="720" w:hanging="720"/>
      </w:pPr>
      <w:rPr>
        <w:rFonts w:hint="default"/>
      </w:rPr>
    </w:lvl>
  </w:abstractNum>
  <w:abstractNum w:abstractNumId="3" w15:restartNumberingAfterBreak="0">
    <w:nsid w:val="12D63ED5"/>
    <w:multiLevelType w:val="hybridMultilevel"/>
    <w:tmpl w:val="6B46CE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7F0437"/>
    <w:multiLevelType w:val="singleLevel"/>
    <w:tmpl w:val="924860C8"/>
    <w:lvl w:ilvl="0">
      <w:start w:val="12"/>
      <w:numFmt w:val="bullet"/>
      <w:lvlText w:val="-"/>
      <w:lvlJc w:val="left"/>
      <w:pPr>
        <w:tabs>
          <w:tab w:val="num" w:pos="420"/>
        </w:tabs>
        <w:ind w:left="420" w:hanging="360"/>
      </w:pPr>
      <w:rPr>
        <w:rFonts w:ascii="Times New Roman" w:hAnsi="Times New Roman" w:hint="default"/>
      </w:rPr>
    </w:lvl>
  </w:abstractNum>
  <w:abstractNum w:abstractNumId="5" w15:restartNumberingAfterBreak="0">
    <w:nsid w:val="24DC3391"/>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86204CC"/>
    <w:multiLevelType w:val="hybridMultilevel"/>
    <w:tmpl w:val="5B88F87E"/>
    <w:lvl w:ilvl="0">
      <w:start w:val="1"/>
      <w:numFmt w:val="lowerRoman"/>
      <w:lvlText w:val="%1.)"/>
      <w:lvlJc w:val="left"/>
      <w:pPr>
        <w:tabs>
          <w:tab w:val="num" w:pos="540"/>
        </w:tabs>
        <w:ind w:left="255" w:hanging="435"/>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7" w15:restartNumberingAfterBreak="0">
    <w:nsid w:val="2EAA7558"/>
    <w:multiLevelType w:val="hybridMultilevel"/>
    <w:tmpl w:val="EE18B3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B81A2E"/>
    <w:multiLevelType w:val="hybridMultilevel"/>
    <w:tmpl w:val="60367C9A"/>
    <w:lvl w:ilvl="0">
      <w:start w:val="1"/>
      <w:numFmt w:val="lowerRoman"/>
      <w:lvlText w:val="%1.)"/>
      <w:lvlJc w:val="left"/>
      <w:pPr>
        <w:tabs>
          <w:tab w:val="num" w:pos="720"/>
        </w:tabs>
        <w:ind w:left="435" w:hanging="435"/>
      </w:pPr>
      <w:rPr>
        <w:rFonts w:hint="default"/>
      </w:rPr>
    </w:lvl>
    <w:lvl w:ilvl="1">
      <w:start w:val="8"/>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15:restartNumberingAfterBreak="0">
    <w:nsid w:val="3A2C5EE1"/>
    <w:multiLevelType w:val="hybridMultilevel"/>
    <w:tmpl w:val="323EEB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E1A25F6"/>
    <w:multiLevelType w:val="hybridMultilevel"/>
    <w:tmpl w:val="E99808A0"/>
    <w:lvl w:ilvl="0">
      <w:start w:val="1"/>
      <w:numFmt w:val="lowerRoman"/>
      <w:lvlText w:val="%1.)"/>
      <w:lvlJc w:val="left"/>
      <w:pPr>
        <w:tabs>
          <w:tab w:val="num" w:pos="720"/>
        </w:tabs>
        <w:ind w:left="43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F207471"/>
    <w:multiLevelType w:val="hybridMultilevel"/>
    <w:tmpl w:val="D2EC5A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484757"/>
    <w:multiLevelType w:val="hybridMultilevel"/>
    <w:tmpl w:val="2536FB9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3EC7B76"/>
    <w:multiLevelType w:val="hybridMultilevel"/>
    <w:tmpl w:val="3C0E520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719490F"/>
    <w:multiLevelType w:val="hybridMultilevel"/>
    <w:tmpl w:val="1E7829D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E6F4106"/>
    <w:multiLevelType w:val="hybridMultilevel"/>
    <w:tmpl w:val="AA2E19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F564C8"/>
    <w:multiLevelType w:val="singleLevel"/>
    <w:tmpl w:val="58169C78"/>
    <w:lvl w:ilvl="0">
      <w:start w:val="1"/>
      <w:numFmt w:val="decimal"/>
      <w:lvlText w:val="%1."/>
      <w:legacy w:legacy="1" w:legacySpace="0" w:legacyIndent="360"/>
      <w:lvlJc w:val="left"/>
      <w:pPr>
        <w:ind w:left="720" w:hanging="360"/>
      </w:pPr>
    </w:lvl>
  </w:abstractNum>
  <w:abstractNum w:abstractNumId="17" w15:restartNumberingAfterBreak="0">
    <w:nsid w:val="5A5B25FE"/>
    <w:multiLevelType w:val="hybridMultilevel"/>
    <w:tmpl w:val="65F2882E"/>
    <w:lvl w:ilvl="0">
      <w:start w:val="1"/>
      <w:numFmt w:val="lowerRoman"/>
      <w:lvlText w:val="%1.)"/>
      <w:lvlJc w:val="left"/>
      <w:pPr>
        <w:tabs>
          <w:tab w:val="num" w:pos="540"/>
        </w:tabs>
        <w:ind w:left="255" w:hanging="435"/>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8" w15:restartNumberingAfterBreak="0">
    <w:nsid w:val="60E750A6"/>
    <w:multiLevelType w:val="hybridMultilevel"/>
    <w:tmpl w:val="F6BAC8BE"/>
    <w:lvl w:ilvl="0">
      <w:start w:val="1"/>
      <w:numFmt w:val="decimal"/>
      <w:lvlText w:val="%1."/>
      <w:lvlJc w:val="left"/>
      <w:pPr>
        <w:tabs>
          <w:tab w:val="num" w:pos="180"/>
        </w:tabs>
        <w:ind w:left="180" w:hanging="360"/>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19" w15:restartNumberingAfterBreak="0">
    <w:nsid w:val="63A74126"/>
    <w:multiLevelType w:val="hybridMultilevel"/>
    <w:tmpl w:val="2CB4699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E71495"/>
    <w:multiLevelType w:val="singleLevel"/>
    <w:tmpl w:val="94A032AE"/>
    <w:lvl w:ilvl="0">
      <w:numFmt w:val="bullet"/>
      <w:lvlText w:val="-"/>
      <w:lvlJc w:val="left"/>
      <w:pPr>
        <w:tabs>
          <w:tab w:val="num" w:pos="1080"/>
        </w:tabs>
        <w:ind w:left="1080" w:hanging="360"/>
      </w:pPr>
      <w:rPr>
        <w:rFonts w:ascii="Times New Roman" w:hAnsi="Times New Roman" w:hint="default"/>
      </w:rPr>
    </w:lvl>
  </w:abstractNum>
  <w:abstractNum w:abstractNumId="21" w15:restartNumberingAfterBreak="0">
    <w:nsid w:val="6B84080A"/>
    <w:multiLevelType w:val="hybridMultilevel"/>
    <w:tmpl w:val="5436F5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BB7FAC"/>
    <w:multiLevelType w:val="hybridMultilevel"/>
    <w:tmpl w:val="945E665A"/>
    <w:lvl w:ilvl="0">
      <w:start w:val="1"/>
      <w:numFmt w:val="decimal"/>
      <w:pStyle w:val="References"/>
      <w:lvlText w:val="%1."/>
      <w:lvlJc w:val="left"/>
      <w:pPr>
        <w:tabs>
          <w:tab w:val="num" w:pos="360"/>
        </w:tabs>
        <w:ind w:left="360" w:hanging="360"/>
      </w:pPr>
      <w:rPr>
        <w:rFonts w:hint="default"/>
      </w:rPr>
    </w:lvl>
    <w:lvl w:ilvl="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3" w15:restartNumberingAfterBreak="0">
    <w:nsid w:val="7579615C"/>
    <w:multiLevelType w:val="hybridMultilevel"/>
    <w:tmpl w:val="B62C603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F2315F"/>
    <w:multiLevelType w:val="singleLevel"/>
    <w:tmpl w:val="924860C8"/>
    <w:lvl w:ilvl="0">
      <w:start w:val="12"/>
      <w:numFmt w:val="bullet"/>
      <w:lvlText w:val="-"/>
      <w:lvlJc w:val="left"/>
      <w:pPr>
        <w:tabs>
          <w:tab w:val="num" w:pos="420"/>
        </w:tabs>
        <w:ind w:left="420" w:hanging="360"/>
      </w:pPr>
      <w:rPr>
        <w:rFonts w:ascii="Times New Roman" w:hAnsi="Times New Roman" w:hint="default"/>
      </w:rPr>
    </w:lvl>
  </w:abstractNum>
  <w:num w:numId="1">
    <w:abstractNumId w:val="1"/>
  </w:num>
  <w:num w:numId="2">
    <w:abstractNumId w:val="20"/>
  </w:num>
  <w:num w:numId="3">
    <w:abstractNumId w:val="16"/>
  </w:num>
  <w:num w:numId="4">
    <w:abstractNumId w:val="2"/>
  </w:num>
  <w:num w:numId="5">
    <w:abstractNumId w:val="0"/>
  </w:num>
  <w:num w:numId="6">
    <w:abstractNumId w:val="24"/>
  </w:num>
  <w:num w:numId="7">
    <w:abstractNumId w:val="4"/>
  </w:num>
  <w:num w:numId="8">
    <w:abstractNumId w:val="13"/>
  </w:num>
  <w:num w:numId="9">
    <w:abstractNumId w:val="12"/>
  </w:num>
  <w:num w:numId="10">
    <w:abstractNumId w:val="21"/>
  </w:num>
  <w:num w:numId="11">
    <w:abstractNumId w:val="14"/>
  </w:num>
  <w:num w:numId="12">
    <w:abstractNumId w:val="7"/>
  </w:num>
  <w:num w:numId="13">
    <w:abstractNumId w:val="11"/>
  </w:num>
  <w:num w:numId="14">
    <w:abstractNumId w:val="19"/>
  </w:num>
  <w:num w:numId="15">
    <w:abstractNumId w:val="23"/>
  </w:num>
  <w:num w:numId="16">
    <w:abstractNumId w:val="8"/>
  </w:num>
  <w:num w:numId="17">
    <w:abstractNumId w:val="9"/>
  </w:num>
  <w:num w:numId="18">
    <w:abstractNumId w:val="3"/>
  </w:num>
  <w:num w:numId="19">
    <w:abstractNumId w:val="15"/>
  </w:num>
  <w:num w:numId="20">
    <w:abstractNumId w:val="10"/>
  </w:num>
  <w:num w:numId="21">
    <w:abstractNumId w:val="6"/>
  </w:num>
  <w:num w:numId="22">
    <w:abstractNumId w:val="17"/>
  </w:num>
  <w:num w:numId="23">
    <w:abstractNumId w:val="18"/>
  </w:num>
  <w:num w:numId="24">
    <w:abstractNumId w:val="2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23DE"/>
    <w:rsid w:val="000B4BF5"/>
    <w:rsid w:val="003205E5"/>
    <w:rsid w:val="003C3395"/>
    <w:rsid w:val="004941F4"/>
    <w:rsid w:val="004A675F"/>
    <w:rsid w:val="004C048E"/>
    <w:rsid w:val="005A5112"/>
    <w:rsid w:val="00633A73"/>
    <w:rsid w:val="00717658"/>
    <w:rsid w:val="00997BF6"/>
    <w:rsid w:val="009B581D"/>
    <w:rsid w:val="009C552B"/>
    <w:rsid w:val="00A96D21"/>
    <w:rsid w:val="00B02B7D"/>
    <w:rsid w:val="00CA0507"/>
    <w:rsid w:val="00CA4F1E"/>
    <w:rsid w:val="00D351D8"/>
    <w:rsid w:val="00D74874"/>
    <w:rsid w:val="00DB0029"/>
    <w:rsid w:val="00DC69F1"/>
    <w:rsid w:val="00DF0814"/>
    <w:rsid w:val="00E046B2"/>
    <w:rsid w:val="00E9636B"/>
    <w:rsid w:val="00EE5954"/>
    <w:rsid w:val="00F344CF"/>
    <w:rsid w:val="00FC73E0"/>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1ADB1"/>
  <w15:chartTrackingRefBased/>
  <w15:docId w15:val="{7D821FCE-94CE-4FDD-A3B5-14A3DF74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en-FI" w:eastAsia="en-F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lang w:val="en-GB" w:eastAsia="en-US"/>
    </w:rPr>
  </w:style>
  <w:style w:type="paragraph" w:styleId="Heading1">
    <w:name w:val="heading 1"/>
    <w:basedOn w:val="Normal"/>
    <w:next w:val="Normal"/>
    <w:qFormat/>
    <w:pPr>
      <w:keepNext/>
      <w:spacing w:before="240" w:after="60"/>
      <w:outlineLvl w:val="0"/>
    </w:pPr>
    <w:rPr>
      <w:rFonts w:ascii="Arial" w:hAnsi="Arial"/>
      <w:b/>
      <w:sz w:val="28"/>
    </w:rPr>
  </w:style>
  <w:style w:type="paragraph" w:styleId="Heading2">
    <w:name w:val="heading 2"/>
    <w:basedOn w:val="Normal"/>
    <w:next w:val="Normal"/>
    <w:qFormat/>
    <w:pPr>
      <w:keepNext/>
      <w:spacing w:before="240" w:after="60"/>
      <w:outlineLvl w:val="1"/>
    </w:pPr>
    <w:rPr>
      <w:rFonts w:ascii="Arial" w:hAnsi="Arial"/>
      <w:b/>
      <w:i/>
      <w:sz w:val="22"/>
    </w:rPr>
  </w:style>
  <w:style w:type="paragraph" w:styleId="Heading3">
    <w:name w:val="heading 3"/>
    <w:basedOn w:val="Normal"/>
    <w:next w:val="Normal"/>
    <w:qFormat/>
    <w:pPr>
      <w:keepNext/>
      <w:spacing w:before="240" w:after="60"/>
      <w:outlineLvl w:val="2"/>
    </w:pPr>
    <w:rPr>
      <w:rFonts w:ascii="Arial" w:hAnsi="Arial"/>
      <w:b/>
      <w:bCs/>
    </w:rPr>
  </w:style>
  <w:style w:type="paragraph" w:styleId="Heading4">
    <w:name w:val="heading 4"/>
    <w:basedOn w:val="Normal"/>
    <w:next w:val="Normal"/>
    <w:qFormat/>
    <w:pPr>
      <w:keepNext/>
      <w:outlineLvl w:val="3"/>
    </w:pPr>
    <w:rPr>
      <w:rFonts w:ascii="Arial" w:hAnsi="Arial"/>
      <w:snapToGrid w:val="0"/>
      <w:color w:val="00000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5400"/>
        <w:tab w:val="right" w:pos="10800"/>
      </w:tabs>
    </w:pPr>
    <w:rPr>
      <w:rFonts w:ascii="Arial" w:hAnsi="Arial"/>
      <w:sz w:val="16"/>
    </w:rPr>
  </w:style>
  <w:style w:type="paragraph" w:styleId="Title">
    <w:name w:val="Title"/>
    <w:basedOn w:val="Number"/>
    <w:next w:val="Author"/>
    <w:qFormat/>
    <w:pPr>
      <w:spacing w:before="0" w:after="0"/>
    </w:pPr>
    <w:rPr>
      <w:b/>
      <w:bCs/>
      <w:sz w:val="22"/>
    </w:rPr>
  </w:style>
  <w:style w:type="paragraph" w:customStyle="1" w:styleId="Number">
    <w:name w:val="Number"/>
    <w:basedOn w:val="Normal"/>
    <w:next w:val="Title"/>
    <w:pPr>
      <w:spacing w:before="120" w:after="360"/>
    </w:pPr>
    <w:rPr>
      <w:rFonts w:ascii="Arial" w:hAnsi="Arial"/>
      <w:sz w:val="28"/>
    </w:rPr>
  </w:style>
  <w:style w:type="paragraph" w:customStyle="1" w:styleId="Author">
    <w:name w:val="Author"/>
    <w:basedOn w:val="Normal"/>
    <w:next w:val="copyright"/>
    <w:pPr>
      <w:spacing w:after="480"/>
    </w:pPr>
    <w:rPr>
      <w:rFonts w:ascii="Arial" w:hAnsi="Arial"/>
    </w:rPr>
  </w:style>
  <w:style w:type="paragraph" w:customStyle="1" w:styleId="copyright">
    <w:name w:val="copyright"/>
    <w:basedOn w:val="Author"/>
    <w:pPr>
      <w:spacing w:after="0" w:line="140" w:lineRule="exact"/>
      <w:jc w:val="both"/>
    </w:pPr>
    <w:rPr>
      <w:sz w:val="12"/>
    </w:rPr>
  </w:style>
  <w:style w:type="paragraph" w:styleId="BodyText">
    <w:name w:val="Body Text"/>
    <w:basedOn w:val="Normal"/>
    <w:rPr>
      <w:sz w:val="22"/>
    </w:rPr>
  </w:style>
  <w:style w:type="paragraph" w:styleId="BodyText2">
    <w:name w:val="Body Text 2"/>
    <w:basedOn w:val="Normal"/>
    <w:pPr>
      <w:jc w:val="both"/>
    </w:pPr>
  </w:style>
  <w:style w:type="paragraph" w:styleId="BlockText">
    <w:name w:val="Block Text"/>
    <w:basedOn w:val="Normal"/>
    <w:pPr>
      <w:ind w:left="144" w:right="-86" w:hanging="144"/>
      <w:jc w:val="both"/>
    </w:pPr>
  </w:style>
  <w:style w:type="paragraph" w:customStyle="1" w:styleId="rule">
    <w:name w:val="rule"/>
    <w:basedOn w:val="Normal"/>
    <w:next w:val="copyright"/>
  </w:style>
  <w:style w:type="paragraph" w:customStyle="1" w:styleId="Head4">
    <w:name w:val="Head4"/>
    <w:basedOn w:val="Head3"/>
    <w:next w:val="para1"/>
    <w:rPr>
      <w:b w:val="0"/>
    </w:rPr>
  </w:style>
  <w:style w:type="paragraph" w:customStyle="1" w:styleId="Head3">
    <w:name w:val="Head3"/>
    <w:basedOn w:val="para"/>
    <w:next w:val="para1"/>
    <w:pPr>
      <w:ind w:firstLine="288"/>
    </w:pPr>
    <w:rPr>
      <w:b/>
      <w:i/>
    </w:rPr>
  </w:style>
  <w:style w:type="paragraph" w:customStyle="1" w:styleId="para">
    <w:name w:val="para"/>
    <w:basedOn w:val="Normal"/>
    <w:next w:val="para1"/>
    <w:pPr>
      <w:jc w:val="both"/>
    </w:pPr>
  </w:style>
  <w:style w:type="paragraph" w:customStyle="1" w:styleId="para1">
    <w:name w:val="para1"/>
    <w:basedOn w:val="para"/>
    <w:pPr>
      <w:spacing w:before="120"/>
      <w:ind w:firstLine="288"/>
    </w:pPr>
  </w:style>
  <w:style w:type="paragraph" w:styleId="BodyText3">
    <w:name w:val="Body Text 3"/>
    <w:basedOn w:val="Normal"/>
    <w:pPr>
      <w:ind w:right="-90"/>
      <w:jc w:val="both"/>
    </w:pPr>
    <w:rPr>
      <w:sz w:val="24"/>
    </w:rPr>
  </w:style>
  <w:style w:type="paragraph" w:customStyle="1" w:styleId="Head2">
    <w:name w:val="Head2"/>
    <w:basedOn w:val="Head1"/>
    <w:next w:val="para1"/>
    <w:pPr>
      <w:keepNext w:val="0"/>
      <w:jc w:val="both"/>
    </w:pPr>
    <w:rPr>
      <w:rFonts w:ascii="Times New Roman" w:hAnsi="Times New Roman"/>
    </w:rPr>
  </w:style>
  <w:style w:type="paragraph" w:customStyle="1" w:styleId="Head1">
    <w:name w:val="Head1"/>
    <w:basedOn w:val="Normal"/>
    <w:next w:val="para"/>
    <w:pPr>
      <w:keepNext/>
    </w:pPr>
    <w:rPr>
      <w:rFonts w:ascii="Arial" w:hAnsi="Arial"/>
      <w:b/>
    </w:rPr>
  </w:style>
  <w:style w:type="paragraph" w:customStyle="1" w:styleId="References">
    <w:name w:val="References"/>
    <w:basedOn w:val="para"/>
    <w:pPr>
      <w:numPr>
        <w:numId w:val="24"/>
      </w:numPr>
      <w:tabs>
        <w:tab w:val="right" w:pos="360"/>
      </w:tabs>
    </w:pPr>
  </w:style>
  <w:style w:type="paragraph" w:styleId="BodyText20">
    <w:name w:val="Body Text 2"/>
    <w:basedOn w:val="Normal"/>
    <w:pPr>
      <w:ind w:firstLine="360"/>
      <w:jc w:val="both"/>
    </w:pPr>
  </w:style>
  <w:style w:type="paragraph" w:styleId="BodyTextIndent">
    <w:name w:val="Body Text Indent"/>
    <w:basedOn w:val="Normal"/>
    <w:pPr>
      <w:ind w:left="1080" w:hanging="1080"/>
      <w:jc w:val="both"/>
    </w:pPr>
    <w:rPr>
      <w:rFonts w:ascii="Arial" w:hAnsi="Arial"/>
      <w:sz w:val="22"/>
      <w:lang w:val="en-US"/>
    </w:rPr>
  </w:style>
  <w:style w:type="paragraph" w:styleId="BodyTextIndent2">
    <w:name w:val="Body Text Indent 2"/>
    <w:basedOn w:val="Normal"/>
    <w:pPr>
      <w:ind w:left="360" w:hanging="720"/>
    </w:pPr>
  </w:style>
  <w:style w:type="character" w:styleId="Hyperlink">
    <w:name w:val="Hyperlink"/>
    <w:rPr>
      <w:color w:val="0000FF"/>
      <w:u w:val="single"/>
    </w:rPr>
  </w:style>
  <w:style w:type="table" w:styleId="TableGrid">
    <w:name w:val="Table Grid"/>
    <w:basedOn w:val="TableNormal"/>
    <w:uiPriority w:val="59"/>
    <w:unhideWhenUsed/>
    <w:rsid w:val="00CA4F1E"/>
    <w:rPr>
      <w:rFonts w:ascii="Calibri" w:eastAsia="SimSu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941F4"/>
    <w:rPr>
      <w:color w:val="605E5C"/>
      <w:shd w:val="clear" w:color="auto" w:fill="E1DFDD"/>
    </w:rPr>
  </w:style>
  <w:style w:type="table" w:customStyle="1" w:styleId="PlainTable31">
    <w:name w:val="Plain Table 31"/>
    <w:basedOn w:val="TableNormal"/>
    <w:uiPriority w:val="43"/>
    <w:rsid w:val="009C552B"/>
    <w:rPr>
      <w:rFonts w:ascii="Calibri" w:hAnsi="Calibri"/>
      <w:sz w:val="22"/>
      <w:szCs w:val="22"/>
      <w:lang w:val="fi-FI" w:eastAsia="fi-FI"/>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935</Words>
  <Characters>5336</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University of Groningen</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WS1</dc:creator>
  <cp:keywords/>
  <cp:lastModifiedBy>Timo Kuosmanen</cp:lastModifiedBy>
  <cp:revision>3</cp:revision>
  <cp:lastPrinted>2012-01-19T08:58:00Z</cp:lastPrinted>
  <dcterms:created xsi:type="dcterms:W3CDTF">2018-12-15T07:29:00Z</dcterms:created>
  <dcterms:modified xsi:type="dcterms:W3CDTF">2018-12-15T07:42:00Z</dcterms:modified>
</cp:coreProperties>
</file>