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181C" w:rsidRPr="00E94AE4" w:rsidRDefault="00E94AE4" w:rsidP="00D06774">
      <w:pPr>
        <w:pStyle w:val="BodyText"/>
        <w:rPr>
          <w:b/>
          <w:i/>
          <w:sz w:val="28"/>
          <w:szCs w:val="28"/>
        </w:rPr>
      </w:pPr>
      <w:proofErr w:type="gramStart"/>
      <w:r w:rsidRPr="00E94AE4">
        <w:rPr>
          <w:b/>
          <w:i/>
          <w:sz w:val="28"/>
          <w:szCs w:val="28"/>
        </w:rPr>
        <w:t>INTERCONNECTION VS.</w:t>
      </w:r>
      <w:proofErr w:type="gramEnd"/>
      <w:r w:rsidRPr="00E94AE4">
        <w:rPr>
          <w:b/>
          <w:i/>
          <w:sz w:val="28"/>
          <w:szCs w:val="28"/>
        </w:rPr>
        <w:t xml:space="preserve"> ENERGY SYSTEM COUPLING: A SOCIO-ECONOMIC A</w:t>
      </w:r>
      <w:r>
        <w:rPr>
          <w:b/>
          <w:i/>
          <w:sz w:val="28"/>
          <w:szCs w:val="28"/>
        </w:rPr>
        <w:t>NALYSIS OF FLEXIBILITY BENEFITS</w:t>
      </w:r>
    </w:p>
    <w:p w:rsidR="00D06774" w:rsidRDefault="00D06774" w:rsidP="00D06774">
      <w:pPr>
        <w:spacing w:after="0" w:line="240" w:lineRule="auto"/>
        <w:ind w:left="-142"/>
        <w:jc w:val="both"/>
        <w:rPr>
          <w:b/>
        </w:rPr>
      </w:pPr>
    </w:p>
    <w:p w:rsidR="00D06774" w:rsidRPr="00E94AE4" w:rsidRDefault="00D06774" w:rsidP="00D06774">
      <w:pPr>
        <w:pStyle w:val="BodyText"/>
        <w:jc w:val="right"/>
        <w:rPr>
          <w:sz w:val="20"/>
        </w:rPr>
      </w:pPr>
      <w:r>
        <w:rPr>
          <w:sz w:val="20"/>
        </w:rPr>
        <w:t xml:space="preserve">Claire Bergaentzlé, Technical University of Denmark (DTU), </w:t>
      </w:r>
      <w:r w:rsidRPr="00E94AE4">
        <w:rPr>
          <w:sz w:val="20"/>
        </w:rPr>
        <w:t>Dpt.</w:t>
      </w:r>
      <w:r w:rsidR="00E94AE4" w:rsidRPr="00E94AE4">
        <w:rPr>
          <w:sz w:val="20"/>
        </w:rPr>
        <w:t xml:space="preserve"> of</w:t>
      </w:r>
      <w:r w:rsidRPr="00E94AE4">
        <w:rPr>
          <w:sz w:val="20"/>
        </w:rPr>
        <w:t xml:space="preserve"> Management Engineering, </w:t>
      </w:r>
      <w:r w:rsidRPr="00E94AE4">
        <w:rPr>
          <w:color w:val="000000"/>
          <w:sz w:val="20"/>
        </w:rPr>
        <w:t>+45 46775361</w:t>
      </w:r>
      <w:r w:rsidR="00E94AE4" w:rsidRPr="00E94AE4">
        <w:rPr>
          <w:color w:val="000000"/>
          <w:sz w:val="20"/>
        </w:rPr>
        <w:t xml:space="preserve">, </w:t>
      </w:r>
      <w:hyperlink r:id="rId9" w:history="1">
        <w:r w:rsidRPr="00E94AE4">
          <w:rPr>
            <w:rStyle w:val="Hyperlink"/>
            <w:sz w:val="20"/>
          </w:rPr>
          <w:t>clberg@dtu.dk</w:t>
        </w:r>
      </w:hyperlink>
    </w:p>
    <w:p w:rsidR="00E94AE4" w:rsidRPr="00E94AE4" w:rsidRDefault="00D06774" w:rsidP="00D06774">
      <w:pPr>
        <w:pStyle w:val="BodyText"/>
        <w:jc w:val="right"/>
        <w:rPr>
          <w:sz w:val="20"/>
        </w:rPr>
      </w:pPr>
      <w:r w:rsidRPr="00E94AE4">
        <w:rPr>
          <w:sz w:val="20"/>
        </w:rPr>
        <w:t>Klaus Skytte, Energy Economics and Regulation, DTU,</w:t>
      </w:r>
      <w:r w:rsidR="00E94AE4" w:rsidRPr="00E94AE4">
        <w:rPr>
          <w:sz w:val="20"/>
        </w:rPr>
        <w:t xml:space="preserve"> +45 9351 1085, </w:t>
      </w:r>
      <w:hyperlink r:id="rId10" w:history="1">
        <w:r w:rsidRPr="00E94AE4">
          <w:rPr>
            <w:rStyle w:val="Hyperlink"/>
            <w:sz w:val="20"/>
          </w:rPr>
          <w:t>klsk@dtu.dk</w:t>
        </w:r>
      </w:hyperlink>
    </w:p>
    <w:p w:rsidR="00D06774" w:rsidRPr="00E94AE4" w:rsidRDefault="00E94AE4" w:rsidP="00D06774">
      <w:pPr>
        <w:pStyle w:val="BodyText"/>
        <w:jc w:val="right"/>
        <w:rPr>
          <w:sz w:val="20"/>
        </w:rPr>
      </w:pPr>
      <w:r w:rsidRPr="00E94AE4">
        <w:rPr>
          <w:sz w:val="20"/>
        </w:rPr>
        <w:t xml:space="preserve">Jon Gustav </w:t>
      </w:r>
      <w:r w:rsidRPr="00E94AE4">
        <w:rPr>
          <w:sz w:val="20"/>
        </w:rPr>
        <w:t>Kirkerud</w:t>
      </w:r>
      <w:r w:rsidRPr="00E94AE4">
        <w:rPr>
          <w:sz w:val="20"/>
        </w:rPr>
        <w:t xml:space="preserve">, Norwegian University of Life Sciences (NMBU), Dpt. of Ecology and Natural Resource Management (INA), </w:t>
      </w:r>
      <w:hyperlink r:id="rId11" w:history="1">
        <w:r w:rsidRPr="00E94AE4">
          <w:rPr>
            <w:rStyle w:val="Hyperlink"/>
            <w:sz w:val="20"/>
          </w:rPr>
          <w:t>jon.kirkerud@nmbu.no</w:t>
        </w:r>
      </w:hyperlink>
      <w:r w:rsidRPr="00E94AE4">
        <w:rPr>
          <w:sz w:val="20"/>
        </w:rPr>
        <w:t xml:space="preserve"> </w:t>
      </w:r>
      <w:r w:rsidR="00D06774" w:rsidRPr="00E94AE4">
        <w:rPr>
          <w:sz w:val="20"/>
        </w:rPr>
        <w:br/>
      </w:r>
      <w:r w:rsidR="00D06774" w:rsidRPr="00E94AE4">
        <w:rPr>
          <w:sz w:val="20"/>
        </w:rPr>
        <w:t xml:space="preserve">Ole Jess Olsen, </w:t>
      </w:r>
      <w:r w:rsidRPr="00E94AE4">
        <w:rPr>
          <w:sz w:val="20"/>
        </w:rPr>
        <w:t xml:space="preserve">DTU, Dpt. Management Engineering, </w:t>
      </w:r>
      <w:hyperlink r:id="rId12" w:history="1">
        <w:r w:rsidRPr="00E94AE4">
          <w:rPr>
            <w:rStyle w:val="Hyperlink"/>
            <w:color w:val="990000"/>
            <w:sz w:val="20"/>
            <w:shd w:val="clear" w:color="auto" w:fill="FFFFFF"/>
          </w:rPr>
          <w:t>oleo@dtu.dk</w:t>
        </w:r>
      </w:hyperlink>
      <w:r w:rsidR="00D06774" w:rsidRPr="00E94AE4">
        <w:rPr>
          <w:sz w:val="20"/>
        </w:rPr>
        <w:t xml:space="preserve"> </w:t>
      </w:r>
    </w:p>
    <w:p w:rsidR="00D06774" w:rsidRDefault="00D06774" w:rsidP="00D06774">
      <w:pPr>
        <w:spacing w:after="0" w:line="240" w:lineRule="auto"/>
        <w:jc w:val="both"/>
        <w:rPr>
          <w:b/>
        </w:rPr>
      </w:pPr>
    </w:p>
    <w:p w:rsidR="00D06774" w:rsidRDefault="005A181C" w:rsidP="00D06774">
      <w:pPr>
        <w:pStyle w:val="Heading2"/>
        <w:jc w:val="both"/>
      </w:pPr>
      <w:r w:rsidRPr="00D06774">
        <w:rPr>
          <w:i w:val="0"/>
          <w:sz w:val="24"/>
          <w:szCs w:val="24"/>
        </w:rPr>
        <w:t>Overview</w:t>
      </w:r>
    </w:p>
    <w:p w:rsidR="005A181C" w:rsidRDefault="005A181C" w:rsidP="00D06774">
      <w:pPr>
        <w:spacing w:after="0" w:line="240" w:lineRule="auto"/>
        <w:jc w:val="both"/>
        <w:rPr>
          <w:rFonts w:ascii="Times New Roman" w:eastAsia="Times New Roman" w:hAnsi="Times New Roman" w:cs="Times New Roman"/>
          <w:sz w:val="20"/>
          <w:szCs w:val="20"/>
        </w:rPr>
      </w:pPr>
      <w:r w:rsidRPr="00D06774">
        <w:rPr>
          <w:rFonts w:ascii="Times New Roman" w:eastAsia="Times New Roman" w:hAnsi="Times New Roman" w:cs="Times New Roman"/>
          <w:sz w:val="20"/>
          <w:szCs w:val="20"/>
        </w:rPr>
        <w:t xml:space="preserve">With expected future penetration of Variable Renewable Energies (VREs) arises the question of how to maximise the utilisation of large shares of cheap energy resources. The traditional way to address this is to export energy surpluses, thereby using interconnectors as flexibility solution. This study explores the benefits for Denmark of engaging into an electrification strategy of its </w:t>
      </w:r>
      <w:r w:rsidR="00064F50" w:rsidRPr="00D06774">
        <w:rPr>
          <w:rFonts w:ascii="Times New Roman" w:eastAsia="Times New Roman" w:hAnsi="Times New Roman" w:cs="Times New Roman"/>
          <w:sz w:val="20"/>
          <w:szCs w:val="20"/>
        </w:rPr>
        <w:t xml:space="preserve">District Heating </w:t>
      </w:r>
      <w:r w:rsidRPr="00D06774">
        <w:rPr>
          <w:rFonts w:ascii="Times New Roman" w:eastAsia="Times New Roman" w:hAnsi="Times New Roman" w:cs="Times New Roman"/>
          <w:sz w:val="20"/>
          <w:szCs w:val="20"/>
        </w:rPr>
        <w:t>(DH) system to unlock and expand thermal storage capacities. Energy system coupling activates low cos</w:t>
      </w:r>
      <w:bookmarkStart w:id="0" w:name="_GoBack"/>
      <w:bookmarkEnd w:id="0"/>
      <w:r w:rsidRPr="00D06774">
        <w:rPr>
          <w:rFonts w:ascii="Times New Roman" w:eastAsia="Times New Roman" w:hAnsi="Times New Roman" w:cs="Times New Roman"/>
          <w:sz w:val="20"/>
          <w:szCs w:val="20"/>
        </w:rPr>
        <w:t xml:space="preserve">t flexibility capable of complementing other flexibility </w:t>
      </w:r>
      <w:r w:rsidR="00064F50" w:rsidRPr="00D06774">
        <w:rPr>
          <w:rFonts w:ascii="Times New Roman" w:eastAsia="Times New Roman" w:hAnsi="Times New Roman" w:cs="Times New Roman"/>
          <w:sz w:val="20"/>
          <w:szCs w:val="20"/>
        </w:rPr>
        <w:t>technologies</w:t>
      </w:r>
      <w:r w:rsidRPr="00D06774">
        <w:rPr>
          <w:rFonts w:ascii="Times New Roman" w:eastAsia="Times New Roman" w:hAnsi="Times New Roman" w:cs="Times New Roman"/>
          <w:sz w:val="20"/>
          <w:szCs w:val="20"/>
        </w:rPr>
        <w:t xml:space="preserve"> at the power sector, while contributing to decarbonise the heat sector. We address the following research questions: What is the socio-economic value of </w:t>
      </w:r>
      <w:r w:rsidR="00064F50" w:rsidRPr="00D06774">
        <w:rPr>
          <w:rFonts w:ascii="Times New Roman" w:eastAsia="Times New Roman" w:hAnsi="Times New Roman" w:cs="Times New Roman"/>
          <w:sz w:val="20"/>
          <w:szCs w:val="20"/>
        </w:rPr>
        <w:t>the smart electrification of the heat sector</w:t>
      </w:r>
      <w:r w:rsidRPr="00D06774">
        <w:rPr>
          <w:rFonts w:ascii="Times New Roman" w:eastAsia="Times New Roman" w:hAnsi="Times New Roman" w:cs="Times New Roman"/>
          <w:sz w:val="20"/>
          <w:szCs w:val="20"/>
        </w:rPr>
        <w:t xml:space="preserve"> in Denmark and what are the distribution effects </w:t>
      </w:r>
      <w:r w:rsidR="00064F50" w:rsidRPr="00D06774">
        <w:rPr>
          <w:rFonts w:ascii="Times New Roman" w:eastAsia="Times New Roman" w:hAnsi="Times New Roman" w:cs="Times New Roman"/>
          <w:sz w:val="20"/>
          <w:szCs w:val="20"/>
        </w:rPr>
        <w:t xml:space="preserve">generated by the integration of both sectors </w:t>
      </w:r>
      <w:r w:rsidRPr="00D06774">
        <w:rPr>
          <w:rFonts w:ascii="Times New Roman" w:eastAsia="Times New Roman" w:hAnsi="Times New Roman" w:cs="Times New Roman"/>
          <w:sz w:val="20"/>
          <w:szCs w:val="20"/>
        </w:rPr>
        <w:t xml:space="preserve">as compared to </w:t>
      </w:r>
      <w:r w:rsidR="00064F50" w:rsidRPr="00D06774">
        <w:rPr>
          <w:rFonts w:ascii="Times New Roman" w:eastAsia="Times New Roman" w:hAnsi="Times New Roman" w:cs="Times New Roman"/>
          <w:sz w:val="20"/>
          <w:szCs w:val="20"/>
        </w:rPr>
        <w:t>“traditional” flexibility strategy, embodied by flexible generation capacities, interconnec</w:t>
      </w:r>
      <w:r w:rsidR="00064F50" w:rsidRPr="00D06774">
        <w:rPr>
          <w:rFonts w:ascii="Times New Roman" w:eastAsia="Times New Roman" w:hAnsi="Times New Roman" w:cs="Times New Roman"/>
          <w:sz w:val="20"/>
          <w:szCs w:val="20"/>
        </w:rPr>
        <w:t>tions and possibly curtailment?</w:t>
      </w:r>
      <w:r w:rsidRPr="00D06774">
        <w:rPr>
          <w:rFonts w:ascii="Times New Roman" w:eastAsia="Times New Roman" w:hAnsi="Times New Roman" w:cs="Times New Roman"/>
          <w:sz w:val="20"/>
          <w:szCs w:val="20"/>
        </w:rPr>
        <w:t xml:space="preserve"> </w:t>
      </w:r>
    </w:p>
    <w:p w:rsidR="00D06774" w:rsidRPr="00D06774" w:rsidRDefault="00D06774" w:rsidP="00D06774">
      <w:pPr>
        <w:spacing w:after="0" w:line="240" w:lineRule="auto"/>
        <w:jc w:val="both"/>
        <w:rPr>
          <w:rFonts w:ascii="Times New Roman" w:eastAsia="Times New Roman" w:hAnsi="Times New Roman" w:cs="Times New Roman"/>
          <w:sz w:val="20"/>
          <w:szCs w:val="20"/>
        </w:rPr>
      </w:pPr>
    </w:p>
    <w:p w:rsidR="00D06774" w:rsidRDefault="00D06774" w:rsidP="00D06774">
      <w:pPr>
        <w:pStyle w:val="Heading2"/>
        <w:jc w:val="both"/>
      </w:pPr>
      <w:r w:rsidRPr="00D06774">
        <w:rPr>
          <w:i w:val="0"/>
          <w:sz w:val="24"/>
          <w:szCs w:val="24"/>
        </w:rPr>
        <w:t>Background</w:t>
      </w:r>
    </w:p>
    <w:p w:rsidR="005A181C" w:rsidRDefault="007144A5" w:rsidP="00D06774">
      <w:pPr>
        <w:spacing w:after="0" w:line="240" w:lineRule="auto"/>
        <w:jc w:val="both"/>
        <w:rPr>
          <w:rFonts w:ascii="Times New Roman" w:eastAsia="Times New Roman" w:hAnsi="Times New Roman" w:cs="Times New Roman"/>
          <w:sz w:val="20"/>
          <w:szCs w:val="20"/>
        </w:rPr>
      </w:pPr>
      <w:r w:rsidRPr="00D06774">
        <w:rPr>
          <w:rFonts w:ascii="Times New Roman" w:eastAsia="Times New Roman" w:hAnsi="Times New Roman" w:cs="Times New Roman"/>
          <w:sz w:val="20"/>
          <w:szCs w:val="20"/>
        </w:rPr>
        <w:t xml:space="preserve">Denmark is a leading country in terms of transition to low carbon energy. With a constant increase of renewable energy sources, driven by a strong penetration of wind energy, Denmark has already achieved its 2020 30% renewable energy target. In 2017, Variable Renewable Energies (VREs) wind and solar, accounted for 46% of total consumed electricity. This represents more the double of VRE’s share in annual electricity demand 10 years </w:t>
      </w:r>
      <w:r w:rsidR="00064F50" w:rsidRPr="00D06774">
        <w:rPr>
          <w:rFonts w:ascii="Times New Roman" w:eastAsia="Times New Roman" w:hAnsi="Times New Roman" w:cs="Times New Roman"/>
          <w:sz w:val="20"/>
          <w:szCs w:val="20"/>
        </w:rPr>
        <w:t>before</w:t>
      </w:r>
      <w:r w:rsidRPr="00D06774">
        <w:rPr>
          <w:rFonts w:ascii="Times New Roman" w:eastAsia="Times New Roman" w:hAnsi="Times New Roman" w:cs="Times New Roman"/>
          <w:sz w:val="20"/>
          <w:szCs w:val="20"/>
        </w:rPr>
        <w:t xml:space="preserve">. The central location of Denmark reflects in it interconnection to the rest of Europe and notably to Norway, which gives Denmark access to large hydropower capacities providing </w:t>
      </w:r>
      <w:r w:rsidR="005A181C" w:rsidRPr="00D06774">
        <w:rPr>
          <w:rFonts w:ascii="Times New Roman" w:eastAsia="Times New Roman" w:hAnsi="Times New Roman" w:cs="Times New Roman"/>
          <w:sz w:val="20"/>
          <w:szCs w:val="20"/>
        </w:rPr>
        <w:t>flexibility</w:t>
      </w:r>
      <w:r w:rsidRPr="00D06774">
        <w:rPr>
          <w:rFonts w:ascii="Times New Roman" w:eastAsia="Times New Roman" w:hAnsi="Times New Roman" w:cs="Times New Roman"/>
          <w:sz w:val="20"/>
          <w:szCs w:val="20"/>
        </w:rPr>
        <w:t xml:space="preserve"> services, and allowing the trading of abundant cheap electricity across countries. Another asset to Danish energy transition is its </w:t>
      </w:r>
      <w:r w:rsidR="005A181C" w:rsidRPr="00D06774">
        <w:rPr>
          <w:rFonts w:ascii="Times New Roman" w:eastAsia="Times New Roman" w:hAnsi="Times New Roman" w:cs="Times New Roman"/>
          <w:sz w:val="20"/>
          <w:szCs w:val="20"/>
        </w:rPr>
        <w:t>DH</w:t>
      </w:r>
      <w:r w:rsidR="00D039AC" w:rsidRPr="00D06774">
        <w:rPr>
          <w:rFonts w:ascii="Times New Roman" w:eastAsia="Times New Roman" w:hAnsi="Times New Roman" w:cs="Times New Roman"/>
          <w:sz w:val="20"/>
          <w:szCs w:val="20"/>
        </w:rPr>
        <w:t xml:space="preserve"> sector</w:t>
      </w:r>
      <w:r w:rsidRPr="00D06774">
        <w:rPr>
          <w:rFonts w:ascii="Times New Roman" w:eastAsia="Times New Roman" w:hAnsi="Times New Roman" w:cs="Times New Roman"/>
          <w:sz w:val="20"/>
          <w:szCs w:val="20"/>
        </w:rPr>
        <w:t xml:space="preserve">. </w:t>
      </w:r>
      <w:r w:rsidR="005A181C" w:rsidRPr="00D06774">
        <w:rPr>
          <w:rFonts w:ascii="Times New Roman" w:eastAsia="Times New Roman" w:hAnsi="Times New Roman" w:cs="Times New Roman"/>
          <w:sz w:val="20"/>
          <w:szCs w:val="20"/>
        </w:rPr>
        <w:t>DH</w:t>
      </w:r>
      <w:r w:rsidRPr="00D06774">
        <w:rPr>
          <w:rFonts w:ascii="Times New Roman" w:eastAsia="Times New Roman" w:hAnsi="Times New Roman" w:cs="Times New Roman"/>
          <w:sz w:val="20"/>
          <w:szCs w:val="20"/>
        </w:rPr>
        <w:t xml:space="preserve"> supplies 50% of total Danish heat consumption, of which, 70% is provided by Combined Heat and Power (CHP) plants, thereby completing the flexibility spectrum at the power system.</w:t>
      </w:r>
      <w:r w:rsidR="005A181C" w:rsidRPr="00D06774">
        <w:rPr>
          <w:rFonts w:ascii="Times New Roman" w:eastAsia="Times New Roman" w:hAnsi="Times New Roman" w:cs="Times New Roman"/>
          <w:sz w:val="20"/>
          <w:szCs w:val="20"/>
        </w:rPr>
        <w:t xml:space="preserve"> </w:t>
      </w:r>
    </w:p>
    <w:p w:rsidR="00D06774" w:rsidRPr="00D06774" w:rsidRDefault="00D06774" w:rsidP="00D06774">
      <w:pPr>
        <w:spacing w:after="0" w:line="240" w:lineRule="auto"/>
        <w:jc w:val="both"/>
        <w:rPr>
          <w:rFonts w:ascii="Times New Roman" w:eastAsia="Times New Roman" w:hAnsi="Times New Roman" w:cs="Times New Roman"/>
          <w:sz w:val="20"/>
          <w:szCs w:val="20"/>
        </w:rPr>
      </w:pPr>
    </w:p>
    <w:p w:rsidR="005A181C" w:rsidRDefault="007144A5" w:rsidP="00D06774">
      <w:pPr>
        <w:spacing w:after="0" w:line="240" w:lineRule="auto"/>
        <w:jc w:val="both"/>
        <w:rPr>
          <w:rFonts w:ascii="Times New Roman" w:eastAsia="Times New Roman" w:hAnsi="Times New Roman" w:cs="Times New Roman"/>
          <w:sz w:val="20"/>
          <w:szCs w:val="20"/>
        </w:rPr>
      </w:pPr>
      <w:r w:rsidRPr="00D06774">
        <w:rPr>
          <w:rFonts w:ascii="Times New Roman" w:eastAsia="Times New Roman" w:hAnsi="Times New Roman" w:cs="Times New Roman"/>
          <w:b/>
          <w:sz w:val="20"/>
          <w:szCs w:val="20"/>
        </w:rPr>
        <w:t>In previous works</w:t>
      </w:r>
      <w:r w:rsidRPr="00D06774">
        <w:rPr>
          <w:rFonts w:ascii="Times New Roman" w:eastAsia="Times New Roman" w:hAnsi="Times New Roman" w:cs="Times New Roman"/>
          <w:sz w:val="20"/>
          <w:szCs w:val="20"/>
        </w:rPr>
        <w:t xml:space="preserve">, </w:t>
      </w:r>
      <w:r w:rsidR="005A181C" w:rsidRPr="00D06774">
        <w:rPr>
          <w:rFonts w:ascii="Times New Roman" w:eastAsia="Times New Roman" w:hAnsi="Times New Roman" w:cs="Times New Roman"/>
          <w:sz w:val="20"/>
          <w:szCs w:val="20"/>
        </w:rPr>
        <w:fldChar w:fldCharType="begin" w:fldLock="1"/>
      </w:r>
      <w:r w:rsidR="005A181C" w:rsidRPr="00D06774">
        <w:rPr>
          <w:rFonts w:ascii="Times New Roman" w:eastAsia="Times New Roman" w:hAnsi="Times New Roman" w:cs="Times New Roman"/>
          <w:sz w:val="20"/>
          <w:szCs w:val="20"/>
        </w:rPr>
        <w:instrText>ADDIN CSL_CITATION {"citationItems":[{"id":"ITEM-1","itemData":{"author":[{"dropping-particle":"","family":"Skytte","given":"K.","non-dropping-particle":"","parse-names":false,"suffix":""},{"dropping-particle":"","family":"Olsen","given":"O.J.","non-dropping-particle":"","parse-names":false,"suffix":""},{"dropping-particle":"","family":"Soysal Rosenlund","given":"E.","non-dropping-particle":"","parse-names":false,"suffix":""},{"dropping-particle":"","family":"Møller Sneum","given":"D.","non-dropping-particle":"","parse-names":false,"suffix":""}],"container-title":"The Journal of Energy Markets. 10.21314/JEM.2017.161","id":"ITEM-1","issued":{"date-parts":[["2017"]]},"page":"19","title":"Barriers for District Heating as a Source of Flexibility.","type":"article-journal"},"uris":["http://www.mendeley.com/documents/?uuid=fe0165b0-067a-4dae-970e-34a66ee311d9"]}],"mendeley":{"formattedCitation":"(Skytte et al. 2017)","manualFormatting":"Skytte et al. (2017)","plainTextFormattedCitation":"(Skytte et al. 2017)","previouslyFormattedCitation":"(Skytte et al. 2017)"},"properties":{"noteIndex":0},"schema":"https://github.com/citation-style-language/schema/raw/master/csl-citation.json"}</w:instrText>
      </w:r>
      <w:r w:rsidR="005A181C" w:rsidRPr="00D06774">
        <w:rPr>
          <w:rFonts w:ascii="Times New Roman" w:eastAsia="Times New Roman" w:hAnsi="Times New Roman" w:cs="Times New Roman"/>
          <w:sz w:val="20"/>
          <w:szCs w:val="20"/>
        </w:rPr>
        <w:fldChar w:fldCharType="separate"/>
      </w:r>
      <w:r w:rsidR="005A181C" w:rsidRPr="00D06774">
        <w:rPr>
          <w:rFonts w:ascii="Times New Roman" w:eastAsia="Times New Roman" w:hAnsi="Times New Roman" w:cs="Times New Roman"/>
          <w:sz w:val="20"/>
          <w:szCs w:val="20"/>
        </w:rPr>
        <w:t>Skytte et al. (2017)</w:t>
      </w:r>
      <w:r w:rsidR="005A181C" w:rsidRPr="00D06774">
        <w:rPr>
          <w:rFonts w:ascii="Times New Roman" w:eastAsia="Times New Roman" w:hAnsi="Times New Roman" w:cs="Times New Roman"/>
          <w:sz w:val="20"/>
          <w:szCs w:val="20"/>
        </w:rPr>
        <w:fldChar w:fldCharType="end"/>
      </w:r>
      <w:r w:rsidR="005A181C" w:rsidRPr="00D06774">
        <w:rPr>
          <w:rFonts w:ascii="Times New Roman" w:eastAsia="Times New Roman" w:hAnsi="Times New Roman" w:cs="Times New Roman"/>
          <w:sz w:val="20"/>
          <w:szCs w:val="20"/>
        </w:rPr>
        <w:t xml:space="preserve"> identify the</w:t>
      </w:r>
      <w:r w:rsidRPr="00D06774">
        <w:rPr>
          <w:rFonts w:ascii="Times New Roman" w:eastAsia="Times New Roman" w:hAnsi="Times New Roman" w:cs="Times New Roman"/>
          <w:sz w:val="20"/>
          <w:szCs w:val="20"/>
        </w:rPr>
        <w:t xml:space="preserve"> regulatory framework conditions in DH in </w:t>
      </w:r>
      <w:r w:rsidR="00064F50" w:rsidRPr="00D06774">
        <w:rPr>
          <w:rFonts w:ascii="Times New Roman" w:eastAsia="Times New Roman" w:hAnsi="Times New Roman" w:cs="Times New Roman"/>
          <w:sz w:val="20"/>
          <w:szCs w:val="20"/>
        </w:rPr>
        <w:t xml:space="preserve">the </w:t>
      </w:r>
      <w:r w:rsidRPr="00D06774">
        <w:rPr>
          <w:rFonts w:ascii="Times New Roman" w:eastAsia="Times New Roman" w:hAnsi="Times New Roman" w:cs="Times New Roman"/>
          <w:sz w:val="20"/>
          <w:szCs w:val="20"/>
        </w:rPr>
        <w:t xml:space="preserve">Nordic and Baltic countries that either distort or limit flexibility signals from the Nord Pool </w:t>
      </w:r>
      <w:r w:rsidR="00064F50" w:rsidRPr="00D06774">
        <w:rPr>
          <w:rFonts w:ascii="Times New Roman" w:eastAsia="Times New Roman" w:hAnsi="Times New Roman" w:cs="Times New Roman"/>
          <w:sz w:val="20"/>
          <w:szCs w:val="20"/>
        </w:rPr>
        <w:t xml:space="preserve">power </w:t>
      </w:r>
      <w:r w:rsidRPr="00D06774">
        <w:rPr>
          <w:rFonts w:ascii="Times New Roman" w:eastAsia="Times New Roman" w:hAnsi="Times New Roman" w:cs="Times New Roman"/>
          <w:sz w:val="20"/>
          <w:szCs w:val="20"/>
        </w:rPr>
        <w:t>market and limit the flexible operation of Power-to-Heat (P2H) technologies</w:t>
      </w:r>
      <w:r w:rsidR="005A181C" w:rsidRPr="00D06774">
        <w:rPr>
          <w:rFonts w:ascii="Times New Roman" w:eastAsia="Times New Roman" w:hAnsi="Times New Roman" w:cs="Times New Roman"/>
          <w:sz w:val="20"/>
          <w:szCs w:val="20"/>
        </w:rPr>
        <w:t xml:space="preserve"> in DH</w:t>
      </w:r>
      <w:r w:rsidRPr="00D06774">
        <w:rPr>
          <w:rFonts w:ascii="Times New Roman" w:eastAsia="Times New Roman" w:hAnsi="Times New Roman" w:cs="Times New Roman"/>
          <w:sz w:val="20"/>
          <w:szCs w:val="20"/>
        </w:rPr>
        <w:t xml:space="preserve">. For the most, these conditions take the form of volume-based electricity grid tariffs and taxes, and subsidy schemes granted to some polluting resources in DH. </w:t>
      </w:r>
      <w:r w:rsidR="005A181C" w:rsidRPr="00D06774">
        <w:rPr>
          <w:rFonts w:ascii="Times New Roman" w:eastAsia="Times New Roman" w:hAnsi="Times New Roman" w:cs="Times New Roman"/>
          <w:sz w:val="20"/>
          <w:szCs w:val="20"/>
        </w:rPr>
        <w:fldChar w:fldCharType="begin" w:fldLock="1"/>
      </w:r>
      <w:r w:rsidR="005A181C" w:rsidRPr="00D06774">
        <w:rPr>
          <w:rFonts w:ascii="Times New Roman" w:eastAsia="Times New Roman" w:hAnsi="Times New Roman" w:cs="Times New Roman"/>
          <w:sz w:val="20"/>
          <w:szCs w:val="20"/>
        </w:rPr>
        <w:instrText>ADDIN CSL_CITATION {"citationItems":[{"id":"ITEM-1","itemData":{"DOI":"10.1016/j.jup.2018.02.001","ISSN":"09571787","abstract":"This study analyzes the impacts of taxes, subsidies, and electricity transmission and distribution tariffs and heat storage on the operation and economic feasibility of district heating plants with different flexibility potentials in the Baltic countries. Under 2016 conditions, the lowest levelized cost of heat is achieved by a combination of wood chip boilers, electric boilers, and heat storage. Heat storage enables a higher utilization of least-cost technologies, resulting in greater cost efficiency for all considered scenarios. Current taxes and subsidies are found to have limited impact on the operation of combined heat and power plants and electric boilers.","author":[{"dropping-particle":"","family":"Møller Sneum","given":"Daniel","non-dropping-particle":"","parse-names":false,"suffix":""},{"dropping-particle":"","family":"Sandberg","given":"Eli","non-dropping-particle":"","parse-names":false,"suffix":""},{"dropping-particle":"","family":"Koduvere","given":"Hardi","non-dropping-particle":"","parse-names":false,"suffix":""},{"dropping-particle":"","family":"Olsen","given":"Ole Jess","non-dropping-particle":"","parse-names":false,"suffix":""},{"dropping-particle":"","family":"Blumberga","given":"Dagnija","non-dropping-particle":"","parse-names":false,"suffix":""}],"container-title":"Utilities Policy","id":"ITEM-1","issue":"February","issued":{"date-parts":[["2018"]]},"page":"1-12","publisher":"Elsevier","title":"Policy incentives for flexible district heating in the Baltic countries","type":"article-journal"},"uris":["http://www.mendeley.com/documents/?uuid=e620d944-abe5-47be-a29b-64721c70da82"]}],"mendeley":{"formattedCitation":"(Møller Sneum et al. 2018)","plainTextFormattedCitation":"(Møller Sneum et al. 2018)","previouslyFormattedCitation":"(Møller Sneum et al. 2018)"},"properties":{"noteIndex":0},"schema":"https://github.com/citation-style-language/schema/raw/master/csl-citation.json"}</w:instrText>
      </w:r>
      <w:r w:rsidR="005A181C" w:rsidRPr="00D06774">
        <w:rPr>
          <w:rFonts w:ascii="Times New Roman" w:eastAsia="Times New Roman" w:hAnsi="Times New Roman" w:cs="Times New Roman"/>
          <w:sz w:val="20"/>
          <w:szCs w:val="20"/>
        </w:rPr>
        <w:fldChar w:fldCharType="separate"/>
      </w:r>
      <w:r w:rsidR="005A181C" w:rsidRPr="00D06774">
        <w:rPr>
          <w:rFonts w:ascii="Times New Roman" w:eastAsia="Times New Roman" w:hAnsi="Times New Roman" w:cs="Times New Roman"/>
          <w:sz w:val="20"/>
          <w:szCs w:val="20"/>
        </w:rPr>
        <w:t>Møller Sneum et al. (2018)</w:t>
      </w:r>
      <w:r w:rsidR="005A181C" w:rsidRPr="00D06774">
        <w:rPr>
          <w:rFonts w:ascii="Times New Roman" w:eastAsia="Times New Roman" w:hAnsi="Times New Roman" w:cs="Times New Roman"/>
          <w:sz w:val="20"/>
          <w:szCs w:val="20"/>
        </w:rPr>
        <w:fldChar w:fldCharType="end"/>
      </w:r>
      <w:r w:rsidRPr="00D06774">
        <w:rPr>
          <w:rFonts w:ascii="Times New Roman" w:eastAsia="Times New Roman" w:hAnsi="Times New Roman" w:cs="Times New Roman"/>
          <w:sz w:val="20"/>
          <w:szCs w:val="20"/>
        </w:rPr>
        <w:t xml:space="preserve"> investigated how taxes and subsidies impact the use </w:t>
      </w:r>
      <w:r w:rsidR="005A181C" w:rsidRPr="00D06774">
        <w:rPr>
          <w:rFonts w:ascii="Times New Roman" w:eastAsia="Times New Roman" w:hAnsi="Times New Roman" w:cs="Times New Roman"/>
          <w:sz w:val="20"/>
          <w:szCs w:val="20"/>
        </w:rPr>
        <w:t xml:space="preserve">of </w:t>
      </w:r>
      <w:r w:rsidRPr="00D06774">
        <w:rPr>
          <w:rFonts w:ascii="Times New Roman" w:eastAsia="Times New Roman" w:hAnsi="Times New Roman" w:cs="Times New Roman"/>
          <w:sz w:val="20"/>
          <w:szCs w:val="20"/>
        </w:rPr>
        <w:t xml:space="preserve">flexible </w:t>
      </w:r>
      <w:r w:rsidR="005A181C" w:rsidRPr="00D06774">
        <w:rPr>
          <w:rFonts w:ascii="Times New Roman" w:eastAsia="Times New Roman" w:hAnsi="Times New Roman" w:cs="Times New Roman"/>
          <w:sz w:val="20"/>
          <w:szCs w:val="20"/>
        </w:rPr>
        <w:t xml:space="preserve">CHPs in the Baltic countries. </w:t>
      </w:r>
      <w:r w:rsidR="005A181C" w:rsidRPr="00D06774">
        <w:rPr>
          <w:rFonts w:ascii="Times New Roman" w:eastAsia="Times New Roman" w:hAnsi="Times New Roman" w:cs="Times New Roman"/>
          <w:sz w:val="20"/>
          <w:szCs w:val="20"/>
        </w:rPr>
        <w:fldChar w:fldCharType="begin" w:fldLock="1"/>
      </w:r>
      <w:r w:rsidR="005A181C" w:rsidRPr="00D06774">
        <w:rPr>
          <w:rFonts w:ascii="Times New Roman" w:eastAsia="Times New Roman" w:hAnsi="Times New Roman" w:cs="Times New Roman"/>
          <w:sz w:val="20"/>
          <w:szCs w:val="20"/>
        </w:rPr>
        <w:instrText>ADDIN CSL_CITATION {"citationItems":[{"id":"ITEM-1","itemData":{"DOI":"10.1016/j.enpol.2018.11.021","ISSN":"03014215","abstract":"Electricity grid tariffs are a lever for reinforcing the coupling of district heating systems to the electricity system and for activating flexibility from power-to-heat (P2H) technologies and storage capacities. This study assesses three tariffs that permit a flexible use of electric boilers in a representative district heating system in Denmark. A mixed integer programming model is developed to evaluate the impact of each tariff on district heating flexibility quantitatively. The tariffs are then discussed in the light of the regulatory requirements that network tariffs must comply with. We show that alternative tariffs enhance the business case for P2H technologies to run flexibly, support the replacement of fossil fuels by green electricity and lower the overall cost of supplying heat. The attributes of each tariff create significant trade-offs between simplicity of implementation, cost efficiency at the distribution-grid level and cost-recovery for distribution system operators. Ultimately, new tariffs should be designed based on the characteristics of their respective groups of users in acknowledging features such as flexibility potential, substitutability between energy sources and captivity.","author":[{"dropping-particle":"","family":"Bergaentzlé","given":"Claire","non-dropping-particle":"","parse-names":false,"suffix":""},{"dropping-particle":"","family":"Jensen","given":"Ida Græsted","non-dropping-particle":"","parse-names":false,"suffix":""},{"dropping-particle":"","family":"Skytte","given":"Klaus","non-dropping-particle":"","parse-names":false,"suffix":""},{"dropping-particle":"","family":"Olsen","given":"Ole Jess","non-dropping-particle":"","parse-names":false,"suffix":""}],"container-title":"Energy Policy","id":"ITEM-1","issue":"November 2018","issued":{"date-parts":[["2019"]]},"page":"12-21","title":"Electricity grid tariffs as a tool for flexible energy systems: A Danish case study","type":"article-journal","volume":"126"},"uris":["http://www.mendeley.com/documents/?uuid=8fe0c9b7-53dd-4051-8d90-fc314eb9a6ff"]}],"mendeley":{"formattedCitation":"(Bergaentzlé et al. 2019)","manualFormatting":"Bergaentzlé et al. (2019)","plainTextFormattedCitation":"(Bergaentzlé et al. 2019)","previouslyFormattedCitation":"(Bergaentzlé et al. 2019)"},"properties":{"noteIndex":0},"schema":"https://github.com/citation-style-language/schema/raw/master/csl-citation.json"}</w:instrText>
      </w:r>
      <w:r w:rsidR="005A181C" w:rsidRPr="00D06774">
        <w:rPr>
          <w:rFonts w:ascii="Times New Roman" w:eastAsia="Times New Roman" w:hAnsi="Times New Roman" w:cs="Times New Roman"/>
          <w:sz w:val="20"/>
          <w:szCs w:val="20"/>
        </w:rPr>
        <w:fldChar w:fldCharType="separate"/>
      </w:r>
      <w:r w:rsidR="005A181C" w:rsidRPr="00D06774">
        <w:rPr>
          <w:rFonts w:ascii="Times New Roman" w:eastAsia="Times New Roman" w:hAnsi="Times New Roman" w:cs="Times New Roman"/>
          <w:sz w:val="20"/>
          <w:szCs w:val="20"/>
        </w:rPr>
        <w:t>Bergaentzlé et al. (2019)</w:t>
      </w:r>
      <w:r w:rsidR="005A181C" w:rsidRPr="00D06774">
        <w:rPr>
          <w:rFonts w:ascii="Times New Roman" w:eastAsia="Times New Roman" w:hAnsi="Times New Roman" w:cs="Times New Roman"/>
          <w:sz w:val="20"/>
          <w:szCs w:val="20"/>
        </w:rPr>
        <w:fldChar w:fldCharType="end"/>
      </w:r>
      <w:r w:rsidRPr="00D06774">
        <w:rPr>
          <w:rFonts w:ascii="Times New Roman" w:eastAsia="Times New Roman" w:hAnsi="Times New Roman" w:cs="Times New Roman"/>
          <w:sz w:val="20"/>
          <w:szCs w:val="20"/>
        </w:rPr>
        <w:t xml:space="preserve"> demonstrated how current electricity grid tariffs and tax system dampen the electrification and flexibility in Danish DH</w:t>
      </w:r>
      <w:r w:rsidR="005A181C" w:rsidRPr="00D06774">
        <w:rPr>
          <w:rFonts w:ascii="Times New Roman" w:eastAsia="Times New Roman" w:hAnsi="Times New Roman" w:cs="Times New Roman"/>
          <w:sz w:val="20"/>
          <w:szCs w:val="20"/>
        </w:rPr>
        <w:t xml:space="preserve"> and assessed how alternative grid tariffs increase flexibility in a Danish DH test case</w:t>
      </w:r>
      <w:r w:rsidRPr="00D06774">
        <w:rPr>
          <w:rFonts w:ascii="Times New Roman" w:eastAsia="Times New Roman" w:hAnsi="Times New Roman" w:cs="Times New Roman"/>
          <w:sz w:val="20"/>
          <w:szCs w:val="20"/>
        </w:rPr>
        <w:t xml:space="preserve">. </w:t>
      </w:r>
      <w:r w:rsidR="005A181C" w:rsidRPr="00D06774">
        <w:rPr>
          <w:rFonts w:ascii="Times New Roman" w:eastAsia="Times New Roman" w:hAnsi="Times New Roman" w:cs="Times New Roman"/>
          <w:sz w:val="20"/>
          <w:szCs w:val="20"/>
        </w:rPr>
        <w:fldChar w:fldCharType="begin" w:fldLock="1"/>
      </w:r>
      <w:r w:rsidR="005A181C" w:rsidRPr="00D06774">
        <w:rPr>
          <w:rFonts w:ascii="Times New Roman" w:eastAsia="Times New Roman" w:hAnsi="Times New Roman" w:cs="Times New Roman"/>
          <w:sz w:val="20"/>
          <w:szCs w:val="20"/>
        </w:rPr>
        <w:instrText>ADDIN CSL_CITATION {"citationItems":[{"id":"ITEM-1","itemData":{"DOI":"10.1016/j.energy.2016.06.147","ISSN":"03605442","abstract":"District heating plants having both electric boilers and alternative fuel options could hold a key in providing flexibility needed for cost efficient integration of variable renewable power. The electricity grid tariff is an important component of the electricity costs of electric boilers, and these tariffs may promote or hamper flexible use of power-to-heat. In this paper, a mixed integer cost minimization model that schedules the operation of different boilers in a district heating plant is developed and applied to analyze the impact of different tariff structures on flexibility provided by electric boilers. The results confirm that the structure of electric grid tariffs significantly influences the flexibility provided and the annual shares of electric boiler use, caused by differences in grid tariff structures, vary from 2% to 17%. Novel tariff structures with time-varying elements increase utilization electricity in low price periods and improve the profitability of power-to-heat as a flexibility solution. The study clearly demonstrates that system effects should be considered when grid tariffs for flexible electric boilers are designed and that novel tariff designs should be more widely adapted.","author":[{"dropping-particle":"","family":"Kirkerud","given":"Jon Gustav","non-dropping-particle":"","parse-names":false,"suffix":""},{"dropping-particle":"","family":"Trømborg","given":"Erik","non-dropping-particle":"","parse-names":false,"suffix":""},{"dropping-particle":"","family":"Bolkesjø","given":"Torjus Folsland","non-dropping-particle":"","parse-names":false,"suffix":""}],"container-title":"Energy","id":"ITEM-1","issued":{"date-parts":[["2016"]]},"page":"1-9","publisher":"Elsevier Ltd","title":"Impacts of electricity grid tariffs on flexible use of electricity to heat generation","type":"article-journal"},"uris":["http://www.mendeley.com/documents/?uuid=34cde03b-9b35-4096-872d-9776d0f5fdc7"]}],"mendeley":{"formattedCitation":"(Kirkerud et al. 2016)","plainTextFormattedCitation":"(Kirkerud et al. 2016)","previouslyFormattedCitation":"(Kirkerud et al. 2016)"},"properties":{"noteIndex":0},"schema":"https://github.com/citation-style-language/schema/raw/master/csl-citation.json"}</w:instrText>
      </w:r>
      <w:r w:rsidR="005A181C" w:rsidRPr="00D06774">
        <w:rPr>
          <w:rFonts w:ascii="Times New Roman" w:eastAsia="Times New Roman" w:hAnsi="Times New Roman" w:cs="Times New Roman"/>
          <w:sz w:val="20"/>
          <w:szCs w:val="20"/>
        </w:rPr>
        <w:fldChar w:fldCharType="separate"/>
      </w:r>
      <w:r w:rsidR="005A181C" w:rsidRPr="00D06774">
        <w:rPr>
          <w:rFonts w:ascii="Times New Roman" w:eastAsia="Times New Roman" w:hAnsi="Times New Roman" w:cs="Times New Roman"/>
          <w:sz w:val="20"/>
          <w:szCs w:val="20"/>
        </w:rPr>
        <w:t>Kirkerud et al. (2016)</w:t>
      </w:r>
      <w:r w:rsidR="005A181C" w:rsidRPr="00D06774">
        <w:rPr>
          <w:rFonts w:ascii="Times New Roman" w:eastAsia="Times New Roman" w:hAnsi="Times New Roman" w:cs="Times New Roman"/>
          <w:sz w:val="20"/>
          <w:szCs w:val="20"/>
        </w:rPr>
        <w:fldChar w:fldCharType="end"/>
      </w:r>
      <w:r w:rsidRPr="00D06774">
        <w:rPr>
          <w:rFonts w:ascii="Times New Roman" w:eastAsia="Times New Roman" w:hAnsi="Times New Roman" w:cs="Times New Roman"/>
          <w:sz w:val="20"/>
          <w:szCs w:val="20"/>
        </w:rPr>
        <w:t xml:space="preserve"> </w:t>
      </w:r>
      <w:r w:rsidR="005A181C" w:rsidRPr="00D06774">
        <w:rPr>
          <w:rFonts w:ascii="Times New Roman" w:eastAsia="Times New Roman" w:hAnsi="Times New Roman" w:cs="Times New Roman"/>
          <w:sz w:val="20"/>
          <w:szCs w:val="20"/>
        </w:rPr>
        <w:t xml:space="preserve">or </w:t>
      </w:r>
      <w:r w:rsidR="005A181C" w:rsidRPr="00D06774">
        <w:rPr>
          <w:rFonts w:ascii="Times New Roman" w:eastAsia="Times New Roman" w:hAnsi="Times New Roman" w:cs="Times New Roman"/>
          <w:sz w:val="20"/>
          <w:szCs w:val="20"/>
        </w:rPr>
        <w:fldChar w:fldCharType="begin" w:fldLock="1"/>
      </w:r>
      <w:r w:rsidR="005A181C" w:rsidRPr="00D06774">
        <w:rPr>
          <w:rFonts w:ascii="Times New Roman" w:eastAsia="Times New Roman" w:hAnsi="Times New Roman" w:cs="Times New Roman"/>
          <w:sz w:val="20"/>
          <w:szCs w:val="20"/>
        </w:rPr>
        <w:instrText>ADDIN CSL_CITATION {"citationItems":[{"id":"ITEM-1","itemData":{"DOI":"10.1016/j.energy.2018.11.035","ISSN":"03605442","author":[{"dropping-particle":"","family":"Sandberg","given":"Eli","non-dropping-particle":"","parse-names":false,"suffix":""},{"dropping-particle":"","family":"Kirkerud","given":"Jon Gustav","non-dropping-particle":"","parse-names":false,"suffix":""},{"dropping-particle":"","family":"Trømborg","given":"Erik","non-dropping-particle":"","parse-names":false,"suffix":""},{"dropping-particle":"","family":"Bolkesjø","given":"Torjus Folsland","non-dropping-particle":"","parse-names":false,"suffix":""}],"container-title":"Energy","id":"ITEM-1","issued":{"date-parts":[["2018"]]},"page":"772-781","publisher":"Elsevier Ltd","title":"Energy system impacts of grid tariff structures for flexible power-to-district heat","type":"article-journal","volume":"168"},"uris":["http://www.mendeley.com/documents/?uuid=eab050c4-6b7e-41b5-86be-85fda0437066"]}],"mendeley":{"formattedCitation":"(Sandberg et al. 2018)","manualFormatting":"Sandberg et al. (2018)","plainTextFormattedCitation":"(Sandberg et al. 2018)","previouslyFormattedCitation":"(Sandberg et al. 2018)"},"properties":{"noteIndex":0},"schema":"https://github.com/citation-style-language/schema/raw/master/csl-citation.json"}</w:instrText>
      </w:r>
      <w:r w:rsidR="005A181C" w:rsidRPr="00D06774">
        <w:rPr>
          <w:rFonts w:ascii="Times New Roman" w:eastAsia="Times New Roman" w:hAnsi="Times New Roman" w:cs="Times New Roman"/>
          <w:sz w:val="20"/>
          <w:szCs w:val="20"/>
        </w:rPr>
        <w:fldChar w:fldCharType="separate"/>
      </w:r>
      <w:r w:rsidR="005A181C" w:rsidRPr="00D06774">
        <w:rPr>
          <w:rFonts w:ascii="Times New Roman" w:eastAsia="Times New Roman" w:hAnsi="Times New Roman" w:cs="Times New Roman"/>
          <w:sz w:val="20"/>
          <w:szCs w:val="20"/>
        </w:rPr>
        <w:t>Sandberg et al. (2018)</w:t>
      </w:r>
      <w:r w:rsidR="005A181C" w:rsidRPr="00D06774">
        <w:rPr>
          <w:rFonts w:ascii="Times New Roman" w:eastAsia="Times New Roman" w:hAnsi="Times New Roman" w:cs="Times New Roman"/>
          <w:sz w:val="20"/>
          <w:szCs w:val="20"/>
        </w:rPr>
        <w:fldChar w:fldCharType="end"/>
      </w:r>
      <w:r w:rsidR="005A181C" w:rsidRPr="00D06774">
        <w:rPr>
          <w:rFonts w:ascii="Times New Roman" w:eastAsia="Times New Roman" w:hAnsi="Times New Roman" w:cs="Times New Roman"/>
          <w:sz w:val="20"/>
          <w:szCs w:val="20"/>
        </w:rPr>
        <w:t xml:space="preserve"> modelled the impact of flexibility-friendly tariffs using a Nordic perspective and further demonstrate the relationship between </w:t>
      </w:r>
      <w:r w:rsidR="009232FE" w:rsidRPr="00D06774">
        <w:rPr>
          <w:rFonts w:ascii="Times New Roman" w:eastAsia="Times New Roman" w:hAnsi="Times New Roman" w:cs="Times New Roman"/>
          <w:sz w:val="20"/>
          <w:szCs w:val="20"/>
        </w:rPr>
        <w:t xml:space="preserve">lack of </w:t>
      </w:r>
      <w:r w:rsidR="005A181C" w:rsidRPr="00D06774">
        <w:rPr>
          <w:rFonts w:ascii="Times New Roman" w:eastAsia="Times New Roman" w:hAnsi="Times New Roman" w:cs="Times New Roman"/>
          <w:sz w:val="20"/>
          <w:szCs w:val="20"/>
        </w:rPr>
        <w:t>flexibility signals</w:t>
      </w:r>
      <w:r w:rsidR="009232FE" w:rsidRPr="00D06774">
        <w:rPr>
          <w:rFonts w:ascii="Times New Roman" w:eastAsia="Times New Roman" w:hAnsi="Times New Roman" w:cs="Times New Roman"/>
          <w:sz w:val="20"/>
          <w:szCs w:val="20"/>
        </w:rPr>
        <w:t>, tariffs</w:t>
      </w:r>
      <w:r w:rsidR="005A181C" w:rsidRPr="00D06774">
        <w:rPr>
          <w:rFonts w:ascii="Times New Roman" w:eastAsia="Times New Roman" w:hAnsi="Times New Roman" w:cs="Times New Roman"/>
          <w:sz w:val="20"/>
          <w:szCs w:val="20"/>
        </w:rPr>
        <w:t xml:space="preserve"> and business case for flexible power-to-heat technologies.</w:t>
      </w:r>
    </w:p>
    <w:p w:rsidR="00D06774" w:rsidRDefault="00D06774" w:rsidP="00D06774">
      <w:pPr>
        <w:spacing w:after="0" w:line="240" w:lineRule="auto"/>
        <w:jc w:val="both"/>
        <w:rPr>
          <w:rFonts w:ascii="Times New Roman" w:eastAsia="Times New Roman" w:hAnsi="Times New Roman" w:cs="Times New Roman"/>
          <w:sz w:val="20"/>
          <w:szCs w:val="20"/>
        </w:rPr>
      </w:pPr>
    </w:p>
    <w:p w:rsidR="00D06774" w:rsidRDefault="007144A5" w:rsidP="00D06774">
      <w:pPr>
        <w:pStyle w:val="Heading2"/>
        <w:jc w:val="both"/>
        <w:rPr>
          <w:rFonts w:ascii="Times New Roman" w:hAnsi="Times New Roman"/>
          <w:sz w:val="20"/>
        </w:rPr>
      </w:pPr>
      <w:r w:rsidRPr="00D06774">
        <w:rPr>
          <w:i w:val="0"/>
          <w:sz w:val="24"/>
          <w:szCs w:val="24"/>
        </w:rPr>
        <w:t>Method</w:t>
      </w:r>
    </w:p>
    <w:p w:rsidR="007144A5" w:rsidRDefault="007144A5" w:rsidP="00D06774">
      <w:pPr>
        <w:spacing w:after="0" w:line="240" w:lineRule="auto"/>
        <w:jc w:val="both"/>
        <w:rPr>
          <w:rFonts w:ascii="Times New Roman" w:eastAsia="Times New Roman" w:hAnsi="Times New Roman" w:cs="Times New Roman"/>
          <w:sz w:val="20"/>
          <w:szCs w:val="20"/>
        </w:rPr>
      </w:pPr>
      <w:r w:rsidRPr="00D06774">
        <w:rPr>
          <w:rFonts w:ascii="Times New Roman" w:eastAsia="Times New Roman" w:hAnsi="Times New Roman" w:cs="Times New Roman"/>
          <w:sz w:val="20"/>
          <w:szCs w:val="20"/>
        </w:rPr>
        <w:t xml:space="preserve">This paper builds on the past findings relative to the barriers to flexibility in DH. We introduce flexibility-friendly tariffs and taxes that </w:t>
      </w:r>
      <w:r w:rsidR="00525C28" w:rsidRPr="00D06774">
        <w:rPr>
          <w:rFonts w:ascii="Times New Roman" w:eastAsia="Times New Roman" w:hAnsi="Times New Roman" w:cs="Times New Roman"/>
          <w:sz w:val="20"/>
          <w:szCs w:val="20"/>
        </w:rPr>
        <w:t>support</w:t>
      </w:r>
      <w:r w:rsidRPr="00D06774">
        <w:rPr>
          <w:rFonts w:ascii="Times New Roman" w:eastAsia="Times New Roman" w:hAnsi="Times New Roman" w:cs="Times New Roman"/>
          <w:sz w:val="20"/>
          <w:szCs w:val="20"/>
        </w:rPr>
        <w:t xml:space="preserve"> the flexibility signals sent by the wholesale market and ultimately improve the business case for flexible </w:t>
      </w:r>
      <w:r w:rsidR="009232FE" w:rsidRPr="00D06774">
        <w:rPr>
          <w:rFonts w:ascii="Times New Roman" w:eastAsia="Times New Roman" w:hAnsi="Times New Roman" w:cs="Times New Roman"/>
          <w:sz w:val="20"/>
          <w:szCs w:val="20"/>
        </w:rPr>
        <w:t>power-to-heat</w:t>
      </w:r>
      <w:r w:rsidRPr="00D06774">
        <w:rPr>
          <w:rFonts w:ascii="Times New Roman" w:eastAsia="Times New Roman" w:hAnsi="Times New Roman" w:cs="Times New Roman"/>
          <w:sz w:val="20"/>
          <w:szCs w:val="20"/>
        </w:rPr>
        <w:t xml:space="preserve"> technologies in </w:t>
      </w:r>
      <w:r w:rsidR="00525C28" w:rsidRPr="00D06774">
        <w:rPr>
          <w:rFonts w:ascii="Times New Roman" w:eastAsia="Times New Roman" w:hAnsi="Times New Roman" w:cs="Times New Roman"/>
          <w:sz w:val="20"/>
          <w:szCs w:val="20"/>
        </w:rPr>
        <w:t xml:space="preserve">Danish </w:t>
      </w:r>
      <w:r w:rsidR="005A181C" w:rsidRPr="00D06774">
        <w:rPr>
          <w:rFonts w:ascii="Times New Roman" w:eastAsia="Times New Roman" w:hAnsi="Times New Roman" w:cs="Times New Roman"/>
          <w:sz w:val="20"/>
          <w:szCs w:val="20"/>
        </w:rPr>
        <w:t>DH</w:t>
      </w:r>
      <w:r w:rsidRPr="00D06774">
        <w:rPr>
          <w:rFonts w:ascii="Times New Roman" w:eastAsia="Times New Roman" w:hAnsi="Times New Roman" w:cs="Times New Roman"/>
          <w:sz w:val="20"/>
          <w:szCs w:val="20"/>
        </w:rPr>
        <w:t>.</w:t>
      </w:r>
      <w:r w:rsidR="005A181C" w:rsidRPr="00D06774">
        <w:rPr>
          <w:rFonts w:ascii="Times New Roman" w:eastAsia="Times New Roman" w:hAnsi="Times New Roman" w:cs="Times New Roman"/>
          <w:sz w:val="20"/>
          <w:szCs w:val="20"/>
        </w:rPr>
        <w:t xml:space="preserve"> We look at the horizon 2050 and</w:t>
      </w:r>
      <w:r w:rsidRPr="00D06774">
        <w:rPr>
          <w:rFonts w:ascii="Times New Roman" w:eastAsia="Times New Roman" w:hAnsi="Times New Roman" w:cs="Times New Roman"/>
          <w:sz w:val="20"/>
          <w:szCs w:val="20"/>
        </w:rPr>
        <w:t xml:space="preserve"> compare this flexibility scenario to </w:t>
      </w:r>
      <w:r w:rsidR="00525C28" w:rsidRPr="00D06774">
        <w:rPr>
          <w:rFonts w:ascii="Times New Roman" w:eastAsia="Times New Roman" w:hAnsi="Times New Roman" w:cs="Times New Roman"/>
          <w:sz w:val="20"/>
          <w:szCs w:val="20"/>
        </w:rPr>
        <w:t>an</w:t>
      </w:r>
      <w:r w:rsidR="005A181C" w:rsidRPr="00D06774">
        <w:rPr>
          <w:rFonts w:ascii="Times New Roman" w:eastAsia="Times New Roman" w:hAnsi="Times New Roman" w:cs="Times New Roman"/>
          <w:sz w:val="20"/>
          <w:szCs w:val="20"/>
        </w:rPr>
        <w:t xml:space="preserve"> increased</w:t>
      </w:r>
      <w:r w:rsidR="00525C28" w:rsidRPr="00D06774">
        <w:rPr>
          <w:rFonts w:ascii="Times New Roman" w:eastAsia="Times New Roman" w:hAnsi="Times New Roman" w:cs="Times New Roman"/>
          <w:sz w:val="20"/>
          <w:szCs w:val="20"/>
        </w:rPr>
        <w:t xml:space="preserve"> interconnection</w:t>
      </w:r>
      <w:r w:rsidRPr="00D06774">
        <w:rPr>
          <w:rFonts w:ascii="Times New Roman" w:eastAsia="Times New Roman" w:hAnsi="Times New Roman" w:cs="Times New Roman"/>
          <w:sz w:val="20"/>
          <w:szCs w:val="20"/>
        </w:rPr>
        <w:t xml:space="preserve"> scenario</w:t>
      </w:r>
      <w:r w:rsidR="009232FE" w:rsidRPr="00D06774">
        <w:rPr>
          <w:rFonts w:ascii="Times New Roman" w:eastAsia="Times New Roman" w:hAnsi="Times New Roman" w:cs="Times New Roman"/>
          <w:sz w:val="20"/>
          <w:szCs w:val="20"/>
        </w:rPr>
        <w:t xml:space="preserve"> </w:t>
      </w:r>
      <w:r w:rsidR="005A181C" w:rsidRPr="00D06774">
        <w:rPr>
          <w:rFonts w:ascii="Times New Roman" w:eastAsia="Times New Roman" w:hAnsi="Times New Roman" w:cs="Times New Roman"/>
          <w:sz w:val="20"/>
          <w:szCs w:val="20"/>
        </w:rPr>
        <w:t>that leaves</w:t>
      </w:r>
      <w:r w:rsidRPr="00D06774">
        <w:rPr>
          <w:rFonts w:ascii="Times New Roman" w:eastAsia="Times New Roman" w:hAnsi="Times New Roman" w:cs="Times New Roman"/>
          <w:sz w:val="20"/>
          <w:szCs w:val="20"/>
        </w:rPr>
        <w:t xml:space="preserve"> unchanged the tested regulatory framework conditions. We use Balmorel </w:t>
      </w:r>
      <w:r w:rsidR="005A181C" w:rsidRPr="00D06774">
        <w:rPr>
          <w:rFonts w:ascii="Times New Roman" w:eastAsia="Times New Roman" w:hAnsi="Times New Roman" w:cs="Times New Roman"/>
          <w:sz w:val="20"/>
          <w:szCs w:val="20"/>
        </w:rPr>
        <w:t>(</w:t>
      </w:r>
      <w:hyperlink r:id="rId13" w:history="1">
        <w:r w:rsidR="00E94AE4" w:rsidRPr="000F4D9E">
          <w:rPr>
            <w:rStyle w:val="Hyperlink"/>
            <w:rFonts w:ascii="Times New Roman" w:eastAsia="Times New Roman" w:hAnsi="Times New Roman" w:cs="Times New Roman"/>
            <w:sz w:val="20"/>
            <w:szCs w:val="20"/>
          </w:rPr>
          <w:t>http://www.balmorel.com/</w:t>
        </w:r>
      </w:hyperlink>
      <w:r w:rsidR="005A181C" w:rsidRPr="00D06774">
        <w:rPr>
          <w:rFonts w:ascii="Times New Roman" w:eastAsia="Times New Roman" w:hAnsi="Times New Roman" w:cs="Times New Roman"/>
          <w:sz w:val="20"/>
          <w:szCs w:val="20"/>
        </w:rPr>
        <w:t xml:space="preserve">) </w:t>
      </w:r>
      <w:r w:rsidRPr="00D06774">
        <w:rPr>
          <w:rFonts w:ascii="Times New Roman" w:eastAsia="Times New Roman" w:hAnsi="Times New Roman" w:cs="Times New Roman"/>
          <w:sz w:val="20"/>
          <w:szCs w:val="20"/>
        </w:rPr>
        <w:t>as</w:t>
      </w:r>
      <w:r w:rsidR="005A181C" w:rsidRPr="00D06774">
        <w:rPr>
          <w:rFonts w:ascii="Times New Roman" w:eastAsia="Times New Roman" w:hAnsi="Times New Roman" w:cs="Times New Roman"/>
          <w:sz w:val="20"/>
          <w:szCs w:val="20"/>
        </w:rPr>
        <w:t xml:space="preserve"> a</w:t>
      </w:r>
      <w:r w:rsidRPr="00D06774">
        <w:rPr>
          <w:rFonts w:ascii="Times New Roman" w:eastAsia="Times New Roman" w:hAnsi="Times New Roman" w:cs="Times New Roman"/>
          <w:sz w:val="20"/>
          <w:szCs w:val="20"/>
        </w:rPr>
        <w:t xml:space="preserve"> </w:t>
      </w:r>
      <w:r w:rsidR="005A181C" w:rsidRPr="00D06774">
        <w:rPr>
          <w:rFonts w:ascii="Times New Roman" w:eastAsia="Times New Roman" w:hAnsi="Times New Roman" w:cs="Times New Roman"/>
          <w:sz w:val="20"/>
          <w:szCs w:val="20"/>
        </w:rPr>
        <w:t xml:space="preserve">partial equilibrium </w:t>
      </w:r>
      <w:r w:rsidRPr="00D06774">
        <w:rPr>
          <w:rFonts w:ascii="Times New Roman" w:eastAsia="Times New Roman" w:hAnsi="Times New Roman" w:cs="Times New Roman"/>
          <w:sz w:val="20"/>
          <w:szCs w:val="20"/>
        </w:rPr>
        <w:t xml:space="preserve">modelling tool </w:t>
      </w:r>
      <w:r w:rsidR="00D44BB6" w:rsidRPr="00D06774">
        <w:rPr>
          <w:rFonts w:ascii="Times New Roman" w:eastAsia="Times New Roman" w:hAnsi="Times New Roman" w:cs="Times New Roman"/>
          <w:sz w:val="20"/>
          <w:szCs w:val="20"/>
        </w:rPr>
        <w:t>to estimate</w:t>
      </w:r>
      <w:r w:rsidR="005A181C" w:rsidRPr="00D06774">
        <w:rPr>
          <w:rFonts w:ascii="Times New Roman" w:eastAsia="Times New Roman" w:hAnsi="Times New Roman" w:cs="Times New Roman"/>
          <w:sz w:val="20"/>
          <w:szCs w:val="20"/>
        </w:rPr>
        <w:t xml:space="preserve"> and compare </w:t>
      </w:r>
      <w:r w:rsidR="00D44BB6" w:rsidRPr="00D06774">
        <w:rPr>
          <w:rFonts w:ascii="Times New Roman" w:eastAsia="Times New Roman" w:hAnsi="Times New Roman" w:cs="Times New Roman"/>
          <w:sz w:val="20"/>
          <w:szCs w:val="20"/>
        </w:rPr>
        <w:t xml:space="preserve">the </w:t>
      </w:r>
      <w:r w:rsidR="005A181C" w:rsidRPr="00D06774">
        <w:rPr>
          <w:rFonts w:ascii="Times New Roman" w:eastAsia="Times New Roman" w:hAnsi="Times New Roman" w:cs="Times New Roman"/>
          <w:sz w:val="20"/>
          <w:szCs w:val="20"/>
        </w:rPr>
        <w:t>socio-economic</w:t>
      </w:r>
      <w:r w:rsidR="00D44BB6" w:rsidRPr="00D06774">
        <w:rPr>
          <w:rFonts w:ascii="Times New Roman" w:eastAsia="Times New Roman" w:hAnsi="Times New Roman" w:cs="Times New Roman"/>
          <w:sz w:val="20"/>
          <w:szCs w:val="20"/>
        </w:rPr>
        <w:t xml:space="preserve"> effect</w:t>
      </w:r>
      <w:r w:rsidR="005A181C" w:rsidRPr="00D06774">
        <w:rPr>
          <w:rFonts w:ascii="Times New Roman" w:eastAsia="Times New Roman" w:hAnsi="Times New Roman" w:cs="Times New Roman"/>
          <w:sz w:val="20"/>
          <w:szCs w:val="20"/>
        </w:rPr>
        <w:t>s</w:t>
      </w:r>
      <w:r w:rsidR="00D44BB6" w:rsidRPr="00D06774">
        <w:rPr>
          <w:rFonts w:ascii="Times New Roman" w:eastAsia="Times New Roman" w:hAnsi="Times New Roman" w:cs="Times New Roman"/>
          <w:sz w:val="20"/>
          <w:szCs w:val="20"/>
        </w:rPr>
        <w:t xml:space="preserve"> of sectors coupling </w:t>
      </w:r>
      <w:r w:rsidR="009232FE" w:rsidRPr="00D06774">
        <w:rPr>
          <w:rFonts w:ascii="Times New Roman" w:eastAsia="Times New Roman" w:hAnsi="Times New Roman" w:cs="Times New Roman"/>
          <w:sz w:val="20"/>
          <w:szCs w:val="20"/>
        </w:rPr>
        <w:t>to the e</w:t>
      </w:r>
      <w:r w:rsidR="005A181C" w:rsidRPr="00D06774">
        <w:rPr>
          <w:rFonts w:ascii="Times New Roman" w:eastAsia="Times New Roman" w:hAnsi="Times New Roman" w:cs="Times New Roman"/>
          <w:sz w:val="20"/>
          <w:szCs w:val="20"/>
        </w:rPr>
        <w:t xml:space="preserve">xtended transmission capacities </w:t>
      </w:r>
      <w:r w:rsidR="009232FE" w:rsidRPr="00D06774">
        <w:rPr>
          <w:rFonts w:ascii="Times New Roman" w:eastAsia="Times New Roman" w:hAnsi="Times New Roman" w:cs="Times New Roman"/>
          <w:sz w:val="20"/>
          <w:szCs w:val="20"/>
        </w:rPr>
        <w:t xml:space="preserve">scenario </w:t>
      </w:r>
      <w:r w:rsidRPr="00D06774">
        <w:rPr>
          <w:rFonts w:ascii="Times New Roman" w:eastAsia="Times New Roman" w:hAnsi="Times New Roman" w:cs="Times New Roman"/>
          <w:sz w:val="20"/>
          <w:szCs w:val="20"/>
        </w:rPr>
        <w:t xml:space="preserve">in terms of increase of VRE </w:t>
      </w:r>
      <w:r w:rsidRPr="00D06774">
        <w:rPr>
          <w:rFonts w:ascii="Times New Roman" w:eastAsia="Times New Roman" w:hAnsi="Times New Roman" w:cs="Times New Roman"/>
          <w:sz w:val="20"/>
          <w:szCs w:val="20"/>
        </w:rPr>
        <w:lastRenderedPageBreak/>
        <w:t xml:space="preserve">capacities; electricity spot prices; </w:t>
      </w:r>
      <w:r w:rsidR="009232FE" w:rsidRPr="00D06774">
        <w:rPr>
          <w:rFonts w:ascii="Times New Roman" w:eastAsia="Times New Roman" w:hAnsi="Times New Roman" w:cs="Times New Roman"/>
          <w:sz w:val="20"/>
          <w:szCs w:val="20"/>
        </w:rPr>
        <w:t xml:space="preserve">system cost; </w:t>
      </w:r>
      <w:r w:rsidR="009232FE" w:rsidRPr="00D06774">
        <w:rPr>
          <w:rFonts w:ascii="Times New Roman" w:eastAsia="Times New Roman" w:hAnsi="Times New Roman" w:cs="Times New Roman"/>
          <w:sz w:val="20"/>
          <w:szCs w:val="20"/>
        </w:rPr>
        <w:t xml:space="preserve">congestions; </w:t>
      </w:r>
      <w:r w:rsidRPr="00D06774">
        <w:rPr>
          <w:rFonts w:ascii="Times New Roman" w:eastAsia="Times New Roman" w:hAnsi="Times New Roman" w:cs="Times New Roman"/>
          <w:sz w:val="20"/>
          <w:szCs w:val="20"/>
        </w:rPr>
        <w:t>electricity exchange balance; total CO2 emissions and heat prices.</w:t>
      </w:r>
      <w:r w:rsidR="005A181C" w:rsidRPr="00D06774">
        <w:rPr>
          <w:rFonts w:ascii="Times New Roman" w:eastAsia="Times New Roman" w:hAnsi="Times New Roman" w:cs="Times New Roman"/>
          <w:sz w:val="20"/>
          <w:szCs w:val="20"/>
        </w:rPr>
        <w:t xml:space="preserve"> </w:t>
      </w:r>
    </w:p>
    <w:p w:rsidR="00D06774" w:rsidRDefault="00D06774" w:rsidP="00D06774">
      <w:pPr>
        <w:spacing w:after="0" w:line="240" w:lineRule="auto"/>
        <w:jc w:val="both"/>
        <w:rPr>
          <w:rFonts w:ascii="Times New Roman" w:eastAsia="Times New Roman" w:hAnsi="Times New Roman" w:cs="Times New Roman"/>
          <w:sz w:val="20"/>
          <w:szCs w:val="20"/>
        </w:rPr>
      </w:pPr>
    </w:p>
    <w:p w:rsidR="00D06774" w:rsidRDefault="005A181C" w:rsidP="00D06774">
      <w:pPr>
        <w:pStyle w:val="Heading2"/>
        <w:jc w:val="both"/>
      </w:pPr>
      <w:r w:rsidRPr="00D06774">
        <w:rPr>
          <w:i w:val="0"/>
          <w:sz w:val="24"/>
          <w:szCs w:val="24"/>
        </w:rPr>
        <w:t>Results</w:t>
      </w:r>
      <w:r w:rsidR="007144A5">
        <w:t xml:space="preserve"> </w:t>
      </w:r>
    </w:p>
    <w:p w:rsidR="00E94AE4" w:rsidRDefault="007144A5" w:rsidP="00D06774">
      <w:pPr>
        <w:spacing w:after="0" w:line="240" w:lineRule="auto"/>
        <w:jc w:val="both"/>
        <w:rPr>
          <w:rFonts w:ascii="Times New Roman" w:eastAsia="Times New Roman" w:hAnsi="Times New Roman" w:cs="Times New Roman"/>
          <w:sz w:val="20"/>
          <w:szCs w:val="20"/>
        </w:rPr>
      </w:pPr>
      <w:r w:rsidRPr="00D06774">
        <w:rPr>
          <w:rFonts w:ascii="Times New Roman" w:eastAsia="Times New Roman" w:hAnsi="Times New Roman" w:cs="Times New Roman"/>
          <w:sz w:val="20"/>
          <w:szCs w:val="20"/>
        </w:rPr>
        <w:t>Our results show that the adoption of appropriate regulatory policies designed to reap the synergy benefits of energy sectors coupling ha</w:t>
      </w:r>
      <w:r w:rsidR="009232FE" w:rsidRPr="00D06774">
        <w:rPr>
          <w:rFonts w:ascii="Times New Roman" w:eastAsia="Times New Roman" w:hAnsi="Times New Roman" w:cs="Times New Roman"/>
          <w:sz w:val="20"/>
          <w:szCs w:val="20"/>
        </w:rPr>
        <w:t>s</w:t>
      </w:r>
      <w:r w:rsidRPr="00D06774">
        <w:rPr>
          <w:rFonts w:ascii="Times New Roman" w:eastAsia="Times New Roman" w:hAnsi="Times New Roman" w:cs="Times New Roman"/>
          <w:sz w:val="20"/>
          <w:szCs w:val="20"/>
        </w:rPr>
        <w:t xml:space="preserve"> the clear potential to fasten the clean, reliable and competitive transition</w:t>
      </w:r>
      <w:r w:rsidR="00525C28" w:rsidRPr="00D06774">
        <w:rPr>
          <w:rFonts w:ascii="Times New Roman" w:eastAsia="Times New Roman" w:hAnsi="Times New Roman" w:cs="Times New Roman"/>
          <w:sz w:val="20"/>
          <w:szCs w:val="20"/>
        </w:rPr>
        <w:t xml:space="preserve"> across energy sectors</w:t>
      </w:r>
      <w:r w:rsidRPr="00D06774">
        <w:rPr>
          <w:rFonts w:ascii="Times New Roman" w:eastAsia="Times New Roman" w:hAnsi="Times New Roman" w:cs="Times New Roman"/>
          <w:sz w:val="20"/>
          <w:szCs w:val="20"/>
        </w:rPr>
        <w:t xml:space="preserve">. Our results show </w:t>
      </w:r>
      <w:r w:rsidR="00E94AE4">
        <w:rPr>
          <w:rFonts w:ascii="Times New Roman" w:eastAsia="Times New Roman" w:hAnsi="Times New Roman" w:cs="Times New Roman"/>
          <w:sz w:val="20"/>
          <w:szCs w:val="20"/>
        </w:rPr>
        <w:t xml:space="preserve">that </w:t>
      </w:r>
      <w:r w:rsidRPr="00D06774">
        <w:rPr>
          <w:rFonts w:ascii="Times New Roman" w:eastAsia="Times New Roman" w:hAnsi="Times New Roman" w:cs="Times New Roman"/>
          <w:sz w:val="20"/>
          <w:szCs w:val="20"/>
        </w:rPr>
        <w:t xml:space="preserve">the electrification of the heat sector with flexible </w:t>
      </w:r>
      <w:r w:rsidR="009232FE" w:rsidRPr="00D06774">
        <w:rPr>
          <w:rFonts w:ascii="Times New Roman" w:eastAsia="Times New Roman" w:hAnsi="Times New Roman" w:cs="Times New Roman"/>
          <w:sz w:val="20"/>
          <w:szCs w:val="20"/>
        </w:rPr>
        <w:t xml:space="preserve">power-to-heat </w:t>
      </w:r>
      <w:r w:rsidRPr="00D06774">
        <w:rPr>
          <w:rFonts w:ascii="Times New Roman" w:eastAsia="Times New Roman" w:hAnsi="Times New Roman" w:cs="Times New Roman"/>
          <w:sz w:val="20"/>
          <w:szCs w:val="20"/>
        </w:rPr>
        <w:t xml:space="preserve">technologies further </w:t>
      </w:r>
      <w:r w:rsidRPr="00E94AE4">
        <w:rPr>
          <w:rFonts w:ascii="Times New Roman" w:eastAsia="Times New Roman" w:hAnsi="Times New Roman" w:cs="Times New Roman"/>
          <w:sz w:val="20"/>
          <w:szCs w:val="20"/>
        </w:rPr>
        <w:t>supports the penetration of VRE</w:t>
      </w:r>
      <w:r w:rsidRPr="00D06774">
        <w:rPr>
          <w:rFonts w:ascii="Times New Roman" w:eastAsia="Times New Roman" w:hAnsi="Times New Roman" w:cs="Times New Roman"/>
          <w:sz w:val="20"/>
          <w:szCs w:val="20"/>
        </w:rPr>
        <w:t xml:space="preserve"> at the power sector, contributes to </w:t>
      </w:r>
      <w:r w:rsidR="00D67FAB">
        <w:rPr>
          <w:rFonts w:ascii="Times New Roman" w:eastAsia="Times New Roman" w:hAnsi="Times New Roman" w:cs="Times New Roman"/>
          <w:sz w:val="20"/>
          <w:szCs w:val="20"/>
        </w:rPr>
        <w:t>decarbonize the heat sector and</w:t>
      </w:r>
      <w:r w:rsidRPr="00E94AE4">
        <w:rPr>
          <w:rFonts w:ascii="Times New Roman" w:eastAsia="Times New Roman" w:hAnsi="Times New Roman" w:cs="Times New Roman"/>
          <w:sz w:val="20"/>
          <w:szCs w:val="20"/>
        </w:rPr>
        <w:t xml:space="preserve"> ha</w:t>
      </w:r>
      <w:r w:rsidR="009232FE" w:rsidRPr="00E94AE4">
        <w:rPr>
          <w:rFonts w:ascii="Times New Roman" w:eastAsia="Times New Roman" w:hAnsi="Times New Roman" w:cs="Times New Roman"/>
          <w:sz w:val="20"/>
          <w:szCs w:val="20"/>
        </w:rPr>
        <w:t>s</w:t>
      </w:r>
      <w:r w:rsidRPr="00E94AE4">
        <w:rPr>
          <w:rFonts w:ascii="Times New Roman" w:eastAsia="Times New Roman" w:hAnsi="Times New Roman" w:cs="Times New Roman"/>
          <w:sz w:val="20"/>
          <w:szCs w:val="20"/>
        </w:rPr>
        <w:t xml:space="preserve"> a positive </w:t>
      </w:r>
      <w:r w:rsidR="00E94AE4" w:rsidRPr="00E94AE4">
        <w:rPr>
          <w:rFonts w:ascii="Times New Roman" w:eastAsia="Times New Roman" w:hAnsi="Times New Roman" w:cs="Times New Roman"/>
          <w:sz w:val="20"/>
          <w:szCs w:val="20"/>
        </w:rPr>
        <w:t xml:space="preserve">impact </w:t>
      </w:r>
      <w:r w:rsidRPr="00E94AE4">
        <w:rPr>
          <w:rFonts w:ascii="Times New Roman" w:eastAsia="Times New Roman" w:hAnsi="Times New Roman" w:cs="Times New Roman"/>
          <w:sz w:val="20"/>
          <w:szCs w:val="20"/>
        </w:rPr>
        <w:t>on final heat prices</w:t>
      </w:r>
      <w:r w:rsidRPr="00D06774">
        <w:rPr>
          <w:rFonts w:ascii="Times New Roman" w:eastAsia="Times New Roman" w:hAnsi="Times New Roman" w:cs="Times New Roman"/>
          <w:sz w:val="20"/>
          <w:szCs w:val="20"/>
        </w:rPr>
        <w:t xml:space="preserve">. </w:t>
      </w:r>
    </w:p>
    <w:p w:rsidR="00E94AE4" w:rsidRDefault="005A181C" w:rsidP="00D06774">
      <w:pPr>
        <w:spacing w:after="0" w:line="240" w:lineRule="auto"/>
        <w:jc w:val="both"/>
        <w:rPr>
          <w:rFonts w:ascii="Times New Roman" w:eastAsia="Times New Roman" w:hAnsi="Times New Roman" w:cs="Times New Roman"/>
          <w:sz w:val="20"/>
          <w:szCs w:val="20"/>
        </w:rPr>
      </w:pPr>
      <w:r w:rsidRPr="00D06774">
        <w:rPr>
          <w:rFonts w:ascii="Times New Roman" w:eastAsia="Times New Roman" w:hAnsi="Times New Roman" w:cs="Times New Roman"/>
          <w:sz w:val="20"/>
          <w:szCs w:val="20"/>
        </w:rPr>
        <w:t>The</w:t>
      </w:r>
      <w:r w:rsidR="007144A5" w:rsidRPr="00D06774">
        <w:rPr>
          <w:rFonts w:ascii="Times New Roman" w:eastAsia="Times New Roman" w:hAnsi="Times New Roman" w:cs="Times New Roman"/>
          <w:sz w:val="20"/>
          <w:szCs w:val="20"/>
        </w:rPr>
        <w:t xml:space="preserve"> electricity price </w:t>
      </w:r>
      <w:r w:rsidR="00F11BA9" w:rsidRPr="00D06774">
        <w:rPr>
          <w:rFonts w:ascii="Times New Roman" w:eastAsia="Times New Roman" w:hAnsi="Times New Roman" w:cs="Times New Roman"/>
          <w:sz w:val="20"/>
          <w:szCs w:val="20"/>
        </w:rPr>
        <w:t>increase as a result of</w:t>
      </w:r>
      <w:r w:rsidR="007144A5" w:rsidRPr="00D06774">
        <w:rPr>
          <w:rFonts w:ascii="Times New Roman" w:eastAsia="Times New Roman" w:hAnsi="Times New Roman" w:cs="Times New Roman"/>
          <w:sz w:val="20"/>
          <w:szCs w:val="20"/>
        </w:rPr>
        <w:t xml:space="preserve"> the electrification of the heat sector is moderate and decreases with the</w:t>
      </w:r>
      <w:r w:rsidRPr="00D06774">
        <w:rPr>
          <w:rFonts w:ascii="Times New Roman" w:eastAsia="Times New Roman" w:hAnsi="Times New Roman" w:cs="Times New Roman"/>
          <w:sz w:val="20"/>
          <w:szCs w:val="20"/>
        </w:rPr>
        <w:t xml:space="preserve"> continuous</w:t>
      </w:r>
      <w:r w:rsidR="007144A5" w:rsidRPr="00D06774">
        <w:rPr>
          <w:rFonts w:ascii="Times New Roman" w:eastAsia="Times New Roman" w:hAnsi="Times New Roman" w:cs="Times New Roman"/>
          <w:sz w:val="20"/>
          <w:szCs w:val="20"/>
        </w:rPr>
        <w:t xml:space="preserve"> </w:t>
      </w:r>
      <w:r w:rsidR="00525C28" w:rsidRPr="00D06774">
        <w:rPr>
          <w:rFonts w:ascii="Times New Roman" w:eastAsia="Times New Roman" w:hAnsi="Times New Roman" w:cs="Times New Roman"/>
          <w:sz w:val="20"/>
          <w:szCs w:val="20"/>
        </w:rPr>
        <w:t>penetration</w:t>
      </w:r>
      <w:r w:rsidR="007144A5" w:rsidRPr="00D06774">
        <w:rPr>
          <w:rFonts w:ascii="Times New Roman" w:eastAsia="Times New Roman" w:hAnsi="Times New Roman" w:cs="Times New Roman"/>
          <w:sz w:val="20"/>
          <w:szCs w:val="20"/>
        </w:rPr>
        <w:t xml:space="preserve"> of low marginal cost power generation. Th</w:t>
      </w:r>
      <w:r w:rsidR="00F11BA9" w:rsidRPr="00D06774">
        <w:rPr>
          <w:rFonts w:ascii="Times New Roman" w:eastAsia="Times New Roman" w:hAnsi="Times New Roman" w:cs="Times New Roman"/>
          <w:sz w:val="20"/>
          <w:szCs w:val="20"/>
        </w:rPr>
        <w:t xml:space="preserve">e reason for that is the competition effect between energy resources in the DH sector, where electricity as input competes with other relatively low cost resources such as biomass. It is therefore the cost of biomass that limits the use of P2H in periods of time where the electricity price on the wholesale market reflects </w:t>
      </w:r>
      <w:r w:rsidR="00525C28" w:rsidRPr="00D06774">
        <w:rPr>
          <w:rFonts w:ascii="Times New Roman" w:eastAsia="Times New Roman" w:hAnsi="Times New Roman" w:cs="Times New Roman"/>
          <w:sz w:val="20"/>
          <w:szCs w:val="20"/>
        </w:rPr>
        <w:t>the largest</w:t>
      </w:r>
      <w:r w:rsidR="00F11BA9" w:rsidRPr="00D06774">
        <w:rPr>
          <w:rFonts w:ascii="Times New Roman" w:eastAsia="Times New Roman" w:hAnsi="Times New Roman" w:cs="Times New Roman"/>
          <w:sz w:val="20"/>
          <w:szCs w:val="20"/>
        </w:rPr>
        <w:t xml:space="preserve"> share of VRE. </w:t>
      </w:r>
    </w:p>
    <w:p w:rsidR="00E94AE4" w:rsidRDefault="005A181C" w:rsidP="00D06774">
      <w:pPr>
        <w:spacing w:after="0" w:line="240" w:lineRule="auto"/>
        <w:jc w:val="both"/>
        <w:rPr>
          <w:rFonts w:ascii="Times New Roman" w:eastAsia="Times New Roman" w:hAnsi="Times New Roman" w:cs="Times New Roman"/>
          <w:sz w:val="20"/>
          <w:szCs w:val="20"/>
        </w:rPr>
      </w:pPr>
      <w:r w:rsidRPr="00D06774">
        <w:rPr>
          <w:rFonts w:ascii="Times New Roman" w:eastAsia="Times New Roman" w:hAnsi="Times New Roman" w:cs="Times New Roman"/>
          <w:sz w:val="20"/>
          <w:szCs w:val="20"/>
        </w:rPr>
        <w:t>Increased coupling</w:t>
      </w:r>
      <w:r w:rsidR="009232FE" w:rsidRPr="00D06774">
        <w:rPr>
          <w:rFonts w:ascii="Times New Roman" w:eastAsia="Times New Roman" w:hAnsi="Times New Roman" w:cs="Times New Roman"/>
          <w:sz w:val="20"/>
          <w:szCs w:val="20"/>
        </w:rPr>
        <w:t xml:space="preserve"> reduces the overall CO</w:t>
      </w:r>
      <w:r w:rsidR="009232FE" w:rsidRPr="00E94AE4">
        <w:rPr>
          <w:rFonts w:ascii="Times New Roman" w:eastAsia="Times New Roman" w:hAnsi="Times New Roman" w:cs="Times New Roman"/>
          <w:sz w:val="20"/>
          <w:szCs w:val="20"/>
          <w:vertAlign w:val="subscript"/>
        </w:rPr>
        <w:t>2</w:t>
      </w:r>
      <w:r w:rsidR="009232FE" w:rsidRPr="00D06774">
        <w:rPr>
          <w:rFonts w:ascii="Times New Roman" w:eastAsia="Times New Roman" w:hAnsi="Times New Roman" w:cs="Times New Roman"/>
          <w:sz w:val="20"/>
          <w:szCs w:val="20"/>
        </w:rPr>
        <w:t xml:space="preserve"> emissions in both</w:t>
      </w:r>
      <w:r w:rsidR="00E94AE4">
        <w:rPr>
          <w:rFonts w:ascii="Times New Roman" w:eastAsia="Times New Roman" w:hAnsi="Times New Roman" w:cs="Times New Roman"/>
          <w:sz w:val="20"/>
          <w:szCs w:val="20"/>
        </w:rPr>
        <w:t xml:space="preserve"> the</w:t>
      </w:r>
      <w:r w:rsidR="009232FE" w:rsidRPr="00D06774">
        <w:rPr>
          <w:rFonts w:ascii="Times New Roman" w:eastAsia="Times New Roman" w:hAnsi="Times New Roman" w:cs="Times New Roman"/>
          <w:sz w:val="20"/>
          <w:szCs w:val="20"/>
        </w:rPr>
        <w:t xml:space="preserve"> electricity and</w:t>
      </w:r>
      <w:r w:rsidR="00E94AE4">
        <w:rPr>
          <w:rFonts w:ascii="Times New Roman" w:eastAsia="Times New Roman" w:hAnsi="Times New Roman" w:cs="Times New Roman"/>
          <w:sz w:val="20"/>
          <w:szCs w:val="20"/>
        </w:rPr>
        <w:t xml:space="preserve"> the</w:t>
      </w:r>
      <w:r w:rsidR="009232FE" w:rsidRPr="00D06774">
        <w:rPr>
          <w:rFonts w:ascii="Times New Roman" w:eastAsia="Times New Roman" w:hAnsi="Times New Roman" w:cs="Times New Roman"/>
          <w:sz w:val="20"/>
          <w:szCs w:val="20"/>
        </w:rPr>
        <w:t xml:space="preserve"> heat sector</w:t>
      </w:r>
      <w:r w:rsidR="00E94AE4">
        <w:rPr>
          <w:rFonts w:ascii="Times New Roman" w:eastAsia="Times New Roman" w:hAnsi="Times New Roman" w:cs="Times New Roman"/>
          <w:sz w:val="20"/>
          <w:szCs w:val="20"/>
        </w:rPr>
        <w:t xml:space="preserve">. It </w:t>
      </w:r>
      <w:r w:rsidRPr="00D06774">
        <w:rPr>
          <w:rFonts w:ascii="Times New Roman" w:eastAsia="Times New Roman" w:hAnsi="Times New Roman" w:cs="Times New Roman"/>
          <w:sz w:val="20"/>
          <w:szCs w:val="20"/>
        </w:rPr>
        <w:t>lowers total system cost to integrate</w:t>
      </w:r>
      <w:r w:rsidR="00D039AC" w:rsidRPr="00D06774">
        <w:rPr>
          <w:rFonts w:ascii="Times New Roman" w:eastAsia="Times New Roman" w:hAnsi="Times New Roman" w:cs="Times New Roman"/>
          <w:sz w:val="20"/>
          <w:szCs w:val="20"/>
        </w:rPr>
        <w:t xml:space="preserve"> VRE and completes the traditional flexibility sources </w:t>
      </w:r>
      <w:r w:rsidR="009232FE" w:rsidRPr="00D06774">
        <w:rPr>
          <w:rFonts w:ascii="Times New Roman" w:eastAsia="Times New Roman" w:hAnsi="Times New Roman" w:cs="Times New Roman"/>
          <w:sz w:val="20"/>
          <w:szCs w:val="20"/>
        </w:rPr>
        <w:t>with</w:t>
      </w:r>
      <w:r w:rsidR="00E94AE4">
        <w:rPr>
          <w:rFonts w:ascii="Times New Roman" w:eastAsia="Times New Roman" w:hAnsi="Times New Roman" w:cs="Times New Roman"/>
          <w:sz w:val="20"/>
          <w:szCs w:val="20"/>
        </w:rPr>
        <w:t xml:space="preserve"> thermal</w:t>
      </w:r>
      <w:r w:rsidR="00D039AC" w:rsidRPr="00D06774">
        <w:rPr>
          <w:rFonts w:ascii="Times New Roman" w:eastAsia="Times New Roman" w:hAnsi="Times New Roman" w:cs="Times New Roman"/>
          <w:sz w:val="20"/>
          <w:szCs w:val="20"/>
        </w:rPr>
        <w:t xml:space="preserve"> </w:t>
      </w:r>
      <w:r w:rsidRPr="00D06774">
        <w:rPr>
          <w:rFonts w:ascii="Times New Roman" w:eastAsia="Times New Roman" w:hAnsi="Times New Roman" w:cs="Times New Roman"/>
          <w:sz w:val="20"/>
          <w:szCs w:val="20"/>
        </w:rPr>
        <w:t>storage</w:t>
      </w:r>
      <w:r w:rsidR="00D039AC" w:rsidRPr="00D06774">
        <w:rPr>
          <w:rFonts w:ascii="Times New Roman" w:eastAsia="Times New Roman" w:hAnsi="Times New Roman" w:cs="Times New Roman"/>
          <w:sz w:val="20"/>
          <w:szCs w:val="20"/>
        </w:rPr>
        <w:t>.</w:t>
      </w:r>
    </w:p>
    <w:p w:rsidR="00F11BA9" w:rsidRDefault="00F11BA9" w:rsidP="00D06774">
      <w:pPr>
        <w:spacing w:after="0" w:line="240" w:lineRule="auto"/>
        <w:jc w:val="both"/>
        <w:rPr>
          <w:rFonts w:ascii="Times New Roman" w:eastAsia="Times New Roman" w:hAnsi="Times New Roman" w:cs="Times New Roman"/>
          <w:sz w:val="20"/>
          <w:szCs w:val="20"/>
        </w:rPr>
      </w:pPr>
      <w:r w:rsidRPr="00D06774">
        <w:rPr>
          <w:rFonts w:ascii="Times New Roman" w:eastAsia="Times New Roman" w:hAnsi="Times New Roman" w:cs="Times New Roman"/>
          <w:sz w:val="20"/>
          <w:szCs w:val="20"/>
        </w:rPr>
        <w:t xml:space="preserve">The comparison with the </w:t>
      </w:r>
      <w:r w:rsidR="00525C28" w:rsidRPr="00D06774">
        <w:rPr>
          <w:rFonts w:ascii="Times New Roman" w:eastAsia="Times New Roman" w:hAnsi="Times New Roman" w:cs="Times New Roman"/>
          <w:sz w:val="20"/>
          <w:szCs w:val="20"/>
        </w:rPr>
        <w:t>interconnection</w:t>
      </w:r>
      <w:r w:rsidRPr="00D06774">
        <w:rPr>
          <w:rFonts w:ascii="Times New Roman" w:eastAsia="Times New Roman" w:hAnsi="Times New Roman" w:cs="Times New Roman"/>
          <w:sz w:val="20"/>
          <w:szCs w:val="20"/>
        </w:rPr>
        <w:t xml:space="preserve"> scenario</w:t>
      </w:r>
      <w:r w:rsidR="005A181C" w:rsidRPr="00D06774">
        <w:rPr>
          <w:rFonts w:ascii="Times New Roman" w:eastAsia="Times New Roman" w:hAnsi="Times New Roman" w:cs="Times New Roman"/>
          <w:sz w:val="20"/>
          <w:szCs w:val="20"/>
        </w:rPr>
        <w:t xml:space="preserve"> shows</w:t>
      </w:r>
      <w:r w:rsidR="00525C28" w:rsidRPr="00D06774">
        <w:rPr>
          <w:rFonts w:ascii="Times New Roman" w:eastAsia="Times New Roman" w:hAnsi="Times New Roman" w:cs="Times New Roman"/>
          <w:sz w:val="20"/>
          <w:szCs w:val="20"/>
        </w:rPr>
        <w:t xml:space="preserve"> that</w:t>
      </w:r>
      <w:r w:rsidRPr="00D06774">
        <w:rPr>
          <w:rFonts w:ascii="Times New Roman" w:eastAsia="Times New Roman" w:hAnsi="Times New Roman" w:cs="Times New Roman"/>
          <w:sz w:val="20"/>
          <w:szCs w:val="20"/>
        </w:rPr>
        <w:t xml:space="preserve"> </w:t>
      </w:r>
      <w:r w:rsidR="00525C28" w:rsidRPr="00D06774">
        <w:rPr>
          <w:rFonts w:ascii="Times New Roman" w:eastAsia="Times New Roman" w:hAnsi="Times New Roman" w:cs="Times New Roman"/>
          <w:sz w:val="20"/>
          <w:szCs w:val="20"/>
        </w:rPr>
        <w:t xml:space="preserve">distribution </w:t>
      </w:r>
      <w:r w:rsidRPr="00D06774">
        <w:rPr>
          <w:rFonts w:ascii="Times New Roman" w:eastAsia="Times New Roman" w:hAnsi="Times New Roman" w:cs="Times New Roman"/>
          <w:sz w:val="20"/>
          <w:szCs w:val="20"/>
        </w:rPr>
        <w:t>effects take place between Denmark</w:t>
      </w:r>
      <w:r w:rsidR="005A181C" w:rsidRPr="00D06774">
        <w:rPr>
          <w:rFonts w:ascii="Times New Roman" w:eastAsia="Times New Roman" w:hAnsi="Times New Roman" w:cs="Times New Roman"/>
          <w:sz w:val="20"/>
          <w:szCs w:val="20"/>
        </w:rPr>
        <w:t xml:space="preserve"> and the neighbouring countries. The electrification of the Danish heat sector results in a limited average wholesale price increase in interconnected countries </w:t>
      </w:r>
      <w:r w:rsidR="009232FE" w:rsidRPr="00D06774">
        <w:rPr>
          <w:rFonts w:ascii="Times New Roman" w:eastAsia="Times New Roman" w:hAnsi="Times New Roman" w:cs="Times New Roman"/>
          <w:sz w:val="20"/>
          <w:szCs w:val="20"/>
        </w:rPr>
        <w:t>and</w:t>
      </w:r>
      <w:r w:rsidR="005A181C" w:rsidRPr="00D06774">
        <w:rPr>
          <w:rFonts w:ascii="Times New Roman" w:eastAsia="Times New Roman" w:hAnsi="Times New Roman" w:cs="Times New Roman"/>
          <w:sz w:val="20"/>
          <w:szCs w:val="20"/>
        </w:rPr>
        <w:t xml:space="preserve"> </w:t>
      </w:r>
      <w:r w:rsidR="009232FE" w:rsidRPr="00D06774">
        <w:rPr>
          <w:rFonts w:ascii="Times New Roman" w:eastAsia="Times New Roman" w:hAnsi="Times New Roman" w:cs="Times New Roman"/>
          <w:sz w:val="20"/>
          <w:szCs w:val="20"/>
        </w:rPr>
        <w:t>contributes to reduce</w:t>
      </w:r>
      <w:r w:rsidR="005A181C" w:rsidRPr="00D06774">
        <w:rPr>
          <w:rFonts w:ascii="Times New Roman" w:eastAsia="Times New Roman" w:hAnsi="Times New Roman" w:cs="Times New Roman"/>
          <w:sz w:val="20"/>
          <w:szCs w:val="20"/>
        </w:rPr>
        <w:t xml:space="preserve"> congestion effects. </w:t>
      </w:r>
    </w:p>
    <w:p w:rsidR="00D06774" w:rsidRPr="00D06774" w:rsidRDefault="00D06774" w:rsidP="00D06774">
      <w:pPr>
        <w:spacing w:after="0" w:line="240" w:lineRule="auto"/>
        <w:jc w:val="both"/>
        <w:rPr>
          <w:rFonts w:ascii="Times New Roman" w:eastAsia="Times New Roman" w:hAnsi="Times New Roman" w:cs="Times New Roman"/>
          <w:sz w:val="20"/>
          <w:szCs w:val="20"/>
        </w:rPr>
      </w:pPr>
    </w:p>
    <w:p w:rsidR="00D06774" w:rsidRDefault="007144A5" w:rsidP="00D06774">
      <w:pPr>
        <w:pStyle w:val="Heading2"/>
        <w:jc w:val="both"/>
        <w:rPr>
          <w:b w:val="0"/>
        </w:rPr>
      </w:pPr>
      <w:r w:rsidRPr="00D06774">
        <w:rPr>
          <w:i w:val="0"/>
          <w:sz w:val="24"/>
          <w:szCs w:val="24"/>
        </w:rPr>
        <w:t>Conclusion</w:t>
      </w:r>
      <w:r w:rsidR="002F5AE8" w:rsidRPr="00D06774">
        <w:rPr>
          <w:i w:val="0"/>
          <w:sz w:val="24"/>
          <w:szCs w:val="24"/>
        </w:rPr>
        <w:t>s</w:t>
      </w:r>
    </w:p>
    <w:p w:rsidR="007144A5" w:rsidRDefault="00525C28" w:rsidP="00D06774">
      <w:pPr>
        <w:spacing w:after="0" w:line="240" w:lineRule="auto"/>
        <w:jc w:val="both"/>
        <w:rPr>
          <w:rFonts w:ascii="Times New Roman" w:eastAsia="Times New Roman" w:hAnsi="Times New Roman" w:cs="Times New Roman"/>
          <w:sz w:val="20"/>
          <w:szCs w:val="20"/>
        </w:rPr>
      </w:pPr>
      <w:r w:rsidRPr="00D06774">
        <w:rPr>
          <w:rFonts w:ascii="Times New Roman" w:eastAsia="Times New Roman" w:hAnsi="Times New Roman" w:cs="Times New Roman"/>
          <w:sz w:val="20"/>
          <w:szCs w:val="20"/>
        </w:rPr>
        <w:t>The e</w:t>
      </w:r>
      <w:r w:rsidR="00F11BA9" w:rsidRPr="00D06774">
        <w:rPr>
          <w:rFonts w:ascii="Times New Roman" w:eastAsia="Times New Roman" w:hAnsi="Times New Roman" w:cs="Times New Roman"/>
          <w:sz w:val="20"/>
          <w:szCs w:val="20"/>
        </w:rPr>
        <w:t xml:space="preserve">lectrification of the heat sector in Denmark has the potential to play a critical part into the transition strategy but requires policy makers to implement policy instruments tailored to support the value of flexibility without distorting market competition. Integrated energy systems would benefit the society in accelerating the transition with limited </w:t>
      </w:r>
      <w:r w:rsidR="005A181C" w:rsidRPr="00D06774">
        <w:rPr>
          <w:rFonts w:ascii="Times New Roman" w:eastAsia="Times New Roman" w:hAnsi="Times New Roman" w:cs="Times New Roman"/>
          <w:sz w:val="20"/>
          <w:szCs w:val="20"/>
        </w:rPr>
        <w:t>and</w:t>
      </w:r>
      <w:r w:rsidR="00F11BA9" w:rsidRPr="00D06774">
        <w:rPr>
          <w:rFonts w:ascii="Times New Roman" w:eastAsia="Times New Roman" w:hAnsi="Times New Roman" w:cs="Times New Roman"/>
          <w:sz w:val="20"/>
          <w:szCs w:val="20"/>
        </w:rPr>
        <w:t xml:space="preserve"> positive impacts on electricity and heat prices respectively.</w:t>
      </w:r>
      <w:r w:rsidR="00D039AC" w:rsidRPr="00D06774">
        <w:rPr>
          <w:rFonts w:ascii="Times New Roman" w:eastAsia="Times New Roman" w:hAnsi="Times New Roman" w:cs="Times New Roman"/>
          <w:sz w:val="20"/>
          <w:szCs w:val="20"/>
        </w:rPr>
        <w:t xml:space="preserve"> </w:t>
      </w:r>
      <w:r w:rsidR="005A181C" w:rsidRPr="00D06774">
        <w:rPr>
          <w:rFonts w:ascii="Times New Roman" w:eastAsia="Times New Roman" w:hAnsi="Times New Roman" w:cs="Times New Roman"/>
          <w:sz w:val="20"/>
          <w:szCs w:val="20"/>
        </w:rPr>
        <w:t xml:space="preserve">The comparison between the energy system coupling scenario and the extended transmission capacities scenario show substitution effects where the use of </w:t>
      </w:r>
      <w:r w:rsidR="009232FE" w:rsidRPr="00D06774">
        <w:rPr>
          <w:rFonts w:ascii="Times New Roman" w:eastAsia="Times New Roman" w:hAnsi="Times New Roman" w:cs="Times New Roman"/>
          <w:sz w:val="20"/>
          <w:szCs w:val="20"/>
        </w:rPr>
        <w:t>power-to-heat</w:t>
      </w:r>
      <w:r w:rsidR="005A181C" w:rsidRPr="00D06774">
        <w:rPr>
          <w:rFonts w:ascii="Times New Roman" w:eastAsia="Times New Roman" w:hAnsi="Times New Roman" w:cs="Times New Roman"/>
          <w:sz w:val="20"/>
          <w:szCs w:val="20"/>
        </w:rPr>
        <w:t xml:space="preserve"> in DH reduces the congestion rents at the interconnector when Denmark is in situation of VRE surpluses. </w:t>
      </w:r>
      <w:r w:rsidR="00F11BA9" w:rsidRPr="00D06774">
        <w:rPr>
          <w:rFonts w:ascii="Times New Roman" w:eastAsia="Times New Roman" w:hAnsi="Times New Roman" w:cs="Times New Roman"/>
          <w:sz w:val="20"/>
          <w:szCs w:val="20"/>
        </w:rPr>
        <w:t>At last our results are relevant for</w:t>
      </w:r>
      <w:r w:rsidR="002F5AE8" w:rsidRPr="00D06774">
        <w:rPr>
          <w:rFonts w:ascii="Times New Roman" w:eastAsia="Times New Roman" w:hAnsi="Times New Roman" w:cs="Times New Roman"/>
          <w:sz w:val="20"/>
          <w:szCs w:val="20"/>
        </w:rPr>
        <w:t xml:space="preserve"> the coupling of</w:t>
      </w:r>
      <w:r w:rsidR="00F11BA9" w:rsidRPr="00D06774">
        <w:rPr>
          <w:rFonts w:ascii="Times New Roman" w:eastAsia="Times New Roman" w:hAnsi="Times New Roman" w:cs="Times New Roman"/>
          <w:sz w:val="20"/>
          <w:szCs w:val="20"/>
        </w:rPr>
        <w:t xml:space="preserve"> electricity and heat but could also be extended to any energy systems coupling involving Power-to-X technologies. Our scientific approach is consequently not limited to countries with DH, but is also relevant in the prospect of developing power-to-gas and </w:t>
      </w:r>
      <w:r w:rsidR="009232FE" w:rsidRPr="00D06774">
        <w:rPr>
          <w:rFonts w:ascii="Times New Roman" w:eastAsia="Times New Roman" w:hAnsi="Times New Roman" w:cs="Times New Roman"/>
          <w:sz w:val="20"/>
          <w:szCs w:val="20"/>
        </w:rPr>
        <w:t xml:space="preserve">in a context of </w:t>
      </w:r>
      <w:r w:rsidR="002F5AE8" w:rsidRPr="00D06774">
        <w:rPr>
          <w:rFonts w:ascii="Times New Roman" w:eastAsia="Times New Roman" w:hAnsi="Times New Roman" w:cs="Times New Roman"/>
          <w:sz w:val="20"/>
          <w:szCs w:val="20"/>
        </w:rPr>
        <w:t>electric vehicles</w:t>
      </w:r>
      <w:r w:rsidR="009232FE" w:rsidRPr="00D06774">
        <w:rPr>
          <w:rFonts w:ascii="Times New Roman" w:eastAsia="Times New Roman" w:hAnsi="Times New Roman" w:cs="Times New Roman"/>
          <w:sz w:val="20"/>
          <w:szCs w:val="20"/>
        </w:rPr>
        <w:t xml:space="preserve"> </w:t>
      </w:r>
      <w:r w:rsidR="009232FE" w:rsidRPr="00D06774">
        <w:rPr>
          <w:rFonts w:ascii="Times New Roman" w:eastAsia="Times New Roman" w:hAnsi="Times New Roman" w:cs="Times New Roman"/>
          <w:sz w:val="20"/>
          <w:szCs w:val="20"/>
        </w:rPr>
        <w:t>penetration</w:t>
      </w:r>
      <w:r w:rsidR="002F5AE8" w:rsidRPr="00D06774">
        <w:rPr>
          <w:rFonts w:ascii="Times New Roman" w:eastAsia="Times New Roman" w:hAnsi="Times New Roman" w:cs="Times New Roman"/>
          <w:sz w:val="20"/>
          <w:szCs w:val="20"/>
        </w:rPr>
        <w:t>.</w:t>
      </w:r>
      <w:r w:rsidR="00817FD0" w:rsidRPr="00D06774">
        <w:rPr>
          <w:rFonts w:ascii="Times New Roman" w:eastAsia="Times New Roman" w:hAnsi="Times New Roman" w:cs="Times New Roman"/>
          <w:sz w:val="20"/>
          <w:szCs w:val="20"/>
        </w:rPr>
        <w:t xml:space="preserve"> </w:t>
      </w:r>
    </w:p>
    <w:p w:rsidR="00D06774" w:rsidRPr="00D06774" w:rsidRDefault="00D06774" w:rsidP="00D06774">
      <w:pPr>
        <w:spacing w:after="0" w:line="240" w:lineRule="auto"/>
        <w:jc w:val="both"/>
        <w:rPr>
          <w:rFonts w:ascii="Times New Roman" w:eastAsia="Times New Roman" w:hAnsi="Times New Roman" w:cs="Times New Roman"/>
          <w:sz w:val="20"/>
          <w:szCs w:val="20"/>
        </w:rPr>
      </w:pPr>
    </w:p>
    <w:p w:rsidR="007144A5" w:rsidRPr="00064F50" w:rsidRDefault="008C7D4A" w:rsidP="00D06774">
      <w:pPr>
        <w:pStyle w:val="Heading2"/>
        <w:rPr>
          <w:b w:val="0"/>
          <w:lang w:val="da-DK"/>
        </w:rPr>
      </w:pPr>
      <w:r w:rsidRPr="00D06774">
        <w:rPr>
          <w:i w:val="0"/>
          <w:sz w:val="24"/>
          <w:szCs w:val="24"/>
        </w:rPr>
        <w:t>References</w:t>
      </w:r>
    </w:p>
    <w:p w:rsidR="005A181C" w:rsidRPr="00D06774" w:rsidRDefault="005A181C" w:rsidP="00D06774">
      <w:pPr>
        <w:widowControl w:val="0"/>
        <w:autoSpaceDE w:val="0"/>
        <w:autoSpaceDN w:val="0"/>
        <w:adjustRightInd w:val="0"/>
        <w:spacing w:after="0" w:line="240" w:lineRule="auto"/>
        <w:ind w:left="426" w:hanging="426"/>
        <w:jc w:val="both"/>
        <w:rPr>
          <w:rFonts w:ascii="Times New Roman" w:hAnsi="Times New Roman" w:cs="Times New Roman"/>
          <w:noProof/>
          <w:sz w:val="20"/>
          <w:szCs w:val="20"/>
          <w:lang w:val="da-DK"/>
        </w:rPr>
      </w:pPr>
      <w:r w:rsidRPr="00D06774">
        <w:rPr>
          <w:rFonts w:ascii="Times New Roman" w:hAnsi="Times New Roman" w:cs="Times New Roman"/>
          <w:b/>
          <w:sz w:val="20"/>
          <w:szCs w:val="20"/>
        </w:rPr>
        <w:fldChar w:fldCharType="begin" w:fldLock="1"/>
      </w:r>
      <w:r w:rsidRPr="00D06774">
        <w:rPr>
          <w:rFonts w:ascii="Times New Roman" w:hAnsi="Times New Roman" w:cs="Times New Roman"/>
          <w:b/>
          <w:sz w:val="20"/>
          <w:szCs w:val="20"/>
          <w:lang w:val="da-DK"/>
        </w:rPr>
        <w:instrText xml:space="preserve">ADDIN Mendeley Bibliography CSL_BIBLIOGRAPHY </w:instrText>
      </w:r>
      <w:r w:rsidRPr="00D06774">
        <w:rPr>
          <w:rFonts w:ascii="Times New Roman" w:hAnsi="Times New Roman" w:cs="Times New Roman"/>
          <w:b/>
          <w:sz w:val="20"/>
          <w:szCs w:val="20"/>
        </w:rPr>
        <w:fldChar w:fldCharType="separate"/>
      </w:r>
      <w:r w:rsidRPr="00D06774">
        <w:rPr>
          <w:rFonts w:ascii="Times New Roman" w:hAnsi="Times New Roman" w:cs="Times New Roman"/>
          <w:noProof/>
          <w:sz w:val="20"/>
          <w:szCs w:val="20"/>
          <w:lang w:val="da-DK"/>
        </w:rPr>
        <w:t xml:space="preserve">Bergaentzlé, C. et al., 2019. </w:t>
      </w:r>
      <w:r w:rsidRPr="00D06774">
        <w:rPr>
          <w:rFonts w:ascii="Times New Roman" w:hAnsi="Times New Roman" w:cs="Times New Roman"/>
          <w:noProof/>
          <w:sz w:val="20"/>
          <w:szCs w:val="20"/>
        </w:rPr>
        <w:t xml:space="preserve">Electricity grid tariffs as a tool for flexible energy systems: A Danish case study. </w:t>
      </w:r>
      <w:r w:rsidRPr="00D06774">
        <w:rPr>
          <w:rFonts w:ascii="Times New Roman" w:hAnsi="Times New Roman" w:cs="Times New Roman"/>
          <w:i/>
          <w:iCs/>
          <w:noProof/>
          <w:sz w:val="20"/>
          <w:szCs w:val="20"/>
          <w:lang w:val="da-DK"/>
        </w:rPr>
        <w:t>Energy Policy</w:t>
      </w:r>
      <w:r w:rsidRPr="00D06774">
        <w:rPr>
          <w:rFonts w:ascii="Times New Roman" w:hAnsi="Times New Roman" w:cs="Times New Roman"/>
          <w:noProof/>
          <w:sz w:val="20"/>
          <w:szCs w:val="20"/>
          <w:lang w:val="da-DK"/>
        </w:rPr>
        <w:t>, 126(November 2018), pp.12–21.</w:t>
      </w:r>
    </w:p>
    <w:p w:rsidR="005A181C" w:rsidRPr="00D06774" w:rsidRDefault="005A181C" w:rsidP="00D06774">
      <w:pPr>
        <w:widowControl w:val="0"/>
        <w:autoSpaceDE w:val="0"/>
        <w:autoSpaceDN w:val="0"/>
        <w:adjustRightInd w:val="0"/>
        <w:spacing w:after="0" w:line="240" w:lineRule="auto"/>
        <w:ind w:left="426" w:hanging="426"/>
        <w:jc w:val="both"/>
        <w:rPr>
          <w:rFonts w:ascii="Times New Roman" w:hAnsi="Times New Roman" w:cs="Times New Roman"/>
          <w:noProof/>
          <w:sz w:val="20"/>
          <w:szCs w:val="20"/>
        </w:rPr>
      </w:pPr>
      <w:r w:rsidRPr="00D06774">
        <w:rPr>
          <w:rFonts w:ascii="Times New Roman" w:hAnsi="Times New Roman" w:cs="Times New Roman"/>
          <w:noProof/>
          <w:sz w:val="20"/>
          <w:szCs w:val="20"/>
          <w:lang w:val="da-DK"/>
        </w:rPr>
        <w:t xml:space="preserve">Kirkerud, J.G., Trømborg, E. &amp; Bolkesjø, T.F., 2016. </w:t>
      </w:r>
      <w:r w:rsidRPr="00D06774">
        <w:rPr>
          <w:rFonts w:ascii="Times New Roman" w:hAnsi="Times New Roman" w:cs="Times New Roman"/>
          <w:noProof/>
          <w:sz w:val="20"/>
          <w:szCs w:val="20"/>
        </w:rPr>
        <w:t xml:space="preserve">Impacts of electricity grid tariffs on flexible use of electricity to heat generation. </w:t>
      </w:r>
      <w:r w:rsidRPr="00D06774">
        <w:rPr>
          <w:rFonts w:ascii="Times New Roman" w:hAnsi="Times New Roman" w:cs="Times New Roman"/>
          <w:i/>
          <w:iCs/>
          <w:noProof/>
          <w:sz w:val="20"/>
          <w:szCs w:val="20"/>
        </w:rPr>
        <w:t>Energy</w:t>
      </w:r>
      <w:r w:rsidRPr="00D06774">
        <w:rPr>
          <w:rFonts w:ascii="Times New Roman" w:hAnsi="Times New Roman" w:cs="Times New Roman"/>
          <w:noProof/>
          <w:sz w:val="20"/>
          <w:szCs w:val="20"/>
        </w:rPr>
        <w:t>, pp.1–9. Available at: http://linkinghub.elsevier.com/retrieve/pii/S0360544216309367.</w:t>
      </w:r>
    </w:p>
    <w:p w:rsidR="005A181C" w:rsidRPr="00D06774" w:rsidRDefault="005A181C" w:rsidP="00D06774">
      <w:pPr>
        <w:widowControl w:val="0"/>
        <w:autoSpaceDE w:val="0"/>
        <w:autoSpaceDN w:val="0"/>
        <w:adjustRightInd w:val="0"/>
        <w:spacing w:after="0" w:line="240" w:lineRule="auto"/>
        <w:ind w:left="426" w:hanging="426"/>
        <w:jc w:val="both"/>
        <w:rPr>
          <w:rFonts w:ascii="Times New Roman" w:hAnsi="Times New Roman" w:cs="Times New Roman"/>
          <w:noProof/>
          <w:sz w:val="20"/>
          <w:szCs w:val="20"/>
        </w:rPr>
      </w:pPr>
      <w:r w:rsidRPr="00D06774">
        <w:rPr>
          <w:rFonts w:ascii="Times New Roman" w:hAnsi="Times New Roman" w:cs="Times New Roman"/>
          <w:noProof/>
          <w:sz w:val="20"/>
          <w:szCs w:val="20"/>
          <w:lang w:val="da-DK"/>
        </w:rPr>
        <w:t xml:space="preserve">Møller Sneum, D. et al., 2018. </w:t>
      </w:r>
      <w:r w:rsidRPr="00D06774">
        <w:rPr>
          <w:rFonts w:ascii="Times New Roman" w:hAnsi="Times New Roman" w:cs="Times New Roman"/>
          <w:noProof/>
          <w:sz w:val="20"/>
          <w:szCs w:val="20"/>
        </w:rPr>
        <w:t xml:space="preserve">Policy incentives for flexible district heating in the Baltic countries. </w:t>
      </w:r>
      <w:r w:rsidRPr="00D06774">
        <w:rPr>
          <w:rFonts w:ascii="Times New Roman" w:hAnsi="Times New Roman" w:cs="Times New Roman"/>
          <w:i/>
          <w:iCs/>
          <w:noProof/>
          <w:sz w:val="20"/>
          <w:szCs w:val="20"/>
        </w:rPr>
        <w:t>Utilities Policy</w:t>
      </w:r>
      <w:r w:rsidRPr="00D06774">
        <w:rPr>
          <w:rFonts w:ascii="Times New Roman" w:hAnsi="Times New Roman" w:cs="Times New Roman"/>
          <w:noProof/>
          <w:sz w:val="20"/>
          <w:szCs w:val="20"/>
        </w:rPr>
        <w:t>, (February), pp.1–12.</w:t>
      </w:r>
    </w:p>
    <w:p w:rsidR="005A181C" w:rsidRPr="00D06774" w:rsidRDefault="005A181C" w:rsidP="00D06774">
      <w:pPr>
        <w:widowControl w:val="0"/>
        <w:autoSpaceDE w:val="0"/>
        <w:autoSpaceDN w:val="0"/>
        <w:adjustRightInd w:val="0"/>
        <w:spacing w:after="0" w:line="240" w:lineRule="auto"/>
        <w:ind w:left="426" w:hanging="426"/>
        <w:jc w:val="both"/>
        <w:rPr>
          <w:rFonts w:ascii="Times New Roman" w:hAnsi="Times New Roman" w:cs="Times New Roman"/>
          <w:noProof/>
          <w:sz w:val="20"/>
          <w:szCs w:val="20"/>
        </w:rPr>
      </w:pPr>
      <w:r w:rsidRPr="00D06774">
        <w:rPr>
          <w:rFonts w:ascii="Times New Roman" w:hAnsi="Times New Roman" w:cs="Times New Roman"/>
          <w:noProof/>
          <w:sz w:val="20"/>
          <w:szCs w:val="20"/>
        </w:rPr>
        <w:t xml:space="preserve">Sandberg, E. et al., 2018. Energy system impacts of grid tariff structures for flexible power-to-district heat. </w:t>
      </w:r>
      <w:r w:rsidRPr="00D06774">
        <w:rPr>
          <w:rFonts w:ascii="Times New Roman" w:hAnsi="Times New Roman" w:cs="Times New Roman"/>
          <w:i/>
          <w:iCs/>
          <w:noProof/>
          <w:sz w:val="20"/>
          <w:szCs w:val="20"/>
        </w:rPr>
        <w:t>Energy</w:t>
      </w:r>
      <w:r w:rsidRPr="00D06774">
        <w:rPr>
          <w:rFonts w:ascii="Times New Roman" w:hAnsi="Times New Roman" w:cs="Times New Roman"/>
          <w:noProof/>
          <w:sz w:val="20"/>
          <w:szCs w:val="20"/>
        </w:rPr>
        <w:t>, 168, pp.772–781. Available at: https://linkinghub.elsevier.com/retrieve/pii/S0360544218322394.</w:t>
      </w:r>
    </w:p>
    <w:p w:rsidR="005A181C" w:rsidRPr="00D06774" w:rsidRDefault="005A181C" w:rsidP="00D06774">
      <w:pPr>
        <w:widowControl w:val="0"/>
        <w:autoSpaceDE w:val="0"/>
        <w:autoSpaceDN w:val="0"/>
        <w:adjustRightInd w:val="0"/>
        <w:spacing w:after="0" w:line="240" w:lineRule="auto"/>
        <w:ind w:left="426" w:hanging="426"/>
        <w:jc w:val="both"/>
        <w:rPr>
          <w:rFonts w:ascii="Times New Roman" w:hAnsi="Times New Roman" w:cs="Times New Roman"/>
          <w:noProof/>
          <w:sz w:val="20"/>
          <w:szCs w:val="20"/>
        </w:rPr>
      </w:pPr>
      <w:r w:rsidRPr="00D06774">
        <w:rPr>
          <w:rFonts w:ascii="Times New Roman" w:hAnsi="Times New Roman" w:cs="Times New Roman"/>
          <w:noProof/>
          <w:sz w:val="20"/>
          <w:szCs w:val="20"/>
        </w:rPr>
        <w:t xml:space="preserve">Skytte, K. et al., 2017. Barriers for District Heating as a Source of Flexibility. </w:t>
      </w:r>
      <w:r w:rsidRPr="00D06774">
        <w:rPr>
          <w:rFonts w:ascii="Times New Roman" w:hAnsi="Times New Roman" w:cs="Times New Roman"/>
          <w:i/>
          <w:iCs/>
          <w:noProof/>
          <w:sz w:val="20"/>
          <w:szCs w:val="20"/>
        </w:rPr>
        <w:t>The Journal of Energy Markets. 10.21314/JEM.2017.161</w:t>
      </w:r>
      <w:r w:rsidRPr="00D06774">
        <w:rPr>
          <w:rFonts w:ascii="Times New Roman" w:hAnsi="Times New Roman" w:cs="Times New Roman"/>
          <w:noProof/>
          <w:sz w:val="20"/>
          <w:szCs w:val="20"/>
        </w:rPr>
        <w:t>, p.19.</w:t>
      </w:r>
    </w:p>
    <w:p w:rsidR="007144A5" w:rsidRPr="005A181C" w:rsidRDefault="005A181C" w:rsidP="00D06774">
      <w:pPr>
        <w:spacing w:after="0" w:line="240" w:lineRule="auto"/>
        <w:ind w:left="426" w:hanging="426"/>
        <w:jc w:val="both"/>
        <w:rPr>
          <w:b/>
        </w:rPr>
      </w:pPr>
      <w:r w:rsidRPr="00D06774">
        <w:rPr>
          <w:rFonts w:ascii="Times New Roman" w:hAnsi="Times New Roman" w:cs="Times New Roman"/>
          <w:b/>
          <w:sz w:val="20"/>
          <w:szCs w:val="20"/>
        </w:rPr>
        <w:fldChar w:fldCharType="end"/>
      </w:r>
    </w:p>
    <w:sectPr w:rsidR="007144A5" w:rsidRPr="005A181C" w:rsidSect="005A181C">
      <w:pgSz w:w="11906" w:h="16838"/>
      <w:pgMar w:top="1276" w:right="1274" w:bottom="1135"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44A5" w:rsidRDefault="007144A5" w:rsidP="007144A5">
      <w:pPr>
        <w:spacing w:after="0" w:line="240" w:lineRule="auto"/>
      </w:pPr>
      <w:r>
        <w:separator/>
      </w:r>
    </w:p>
  </w:endnote>
  <w:endnote w:type="continuationSeparator" w:id="0">
    <w:p w:rsidR="007144A5" w:rsidRDefault="007144A5" w:rsidP="007144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44A5" w:rsidRDefault="007144A5" w:rsidP="007144A5">
      <w:pPr>
        <w:spacing w:after="0" w:line="240" w:lineRule="auto"/>
      </w:pPr>
      <w:r>
        <w:separator/>
      </w:r>
    </w:p>
  </w:footnote>
  <w:footnote w:type="continuationSeparator" w:id="0">
    <w:p w:rsidR="007144A5" w:rsidRDefault="007144A5" w:rsidP="007144A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136408"/>
    <w:multiLevelType w:val="hybridMultilevel"/>
    <w:tmpl w:val="8AD6AE8C"/>
    <w:lvl w:ilvl="0" w:tplc="02EA4758">
      <w:start w:val="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44A5"/>
    <w:rsid w:val="00000A8A"/>
    <w:rsid w:val="00064F50"/>
    <w:rsid w:val="001534BA"/>
    <w:rsid w:val="00205A3F"/>
    <w:rsid w:val="002F5AE8"/>
    <w:rsid w:val="00525C28"/>
    <w:rsid w:val="005A181C"/>
    <w:rsid w:val="00603C4C"/>
    <w:rsid w:val="007144A5"/>
    <w:rsid w:val="00817FD0"/>
    <w:rsid w:val="008C7D4A"/>
    <w:rsid w:val="009232FE"/>
    <w:rsid w:val="00AE077D"/>
    <w:rsid w:val="00D039AC"/>
    <w:rsid w:val="00D06774"/>
    <w:rsid w:val="00D44BB6"/>
    <w:rsid w:val="00D67FAB"/>
    <w:rsid w:val="00DF292C"/>
    <w:rsid w:val="00E94AE4"/>
    <w:rsid w:val="00F11B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D06774"/>
    <w:pPr>
      <w:keepNext/>
      <w:spacing w:before="240" w:after="60" w:line="240" w:lineRule="auto"/>
      <w:outlineLvl w:val="1"/>
    </w:pPr>
    <w:rPr>
      <w:rFonts w:ascii="Arial" w:eastAsia="Times New Roman" w:hAnsi="Arial" w:cs="Times New Roman"/>
      <w:b/>
      <w:i/>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144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44A5"/>
    <w:rPr>
      <w:rFonts w:ascii="Tahoma" w:hAnsi="Tahoma" w:cs="Tahoma"/>
      <w:sz w:val="16"/>
      <w:szCs w:val="16"/>
    </w:rPr>
  </w:style>
  <w:style w:type="paragraph" w:styleId="Caption">
    <w:name w:val="caption"/>
    <w:basedOn w:val="Normal"/>
    <w:next w:val="Normal"/>
    <w:uiPriority w:val="99"/>
    <w:unhideWhenUsed/>
    <w:rsid w:val="007144A5"/>
    <w:pPr>
      <w:spacing w:line="240" w:lineRule="auto"/>
      <w:jc w:val="both"/>
    </w:pPr>
    <w:rPr>
      <w:rFonts w:eastAsiaTheme="minorEastAsia"/>
      <w:b/>
      <w:bCs/>
      <w:color w:val="4F81BD" w:themeColor="accent1"/>
      <w:sz w:val="18"/>
      <w:szCs w:val="18"/>
      <w:lang w:val="en-US"/>
    </w:rPr>
  </w:style>
  <w:style w:type="paragraph" w:styleId="FootnoteText">
    <w:name w:val="footnote text"/>
    <w:basedOn w:val="Normal"/>
    <w:link w:val="FootnoteTextChar"/>
    <w:uiPriority w:val="99"/>
    <w:semiHidden/>
    <w:unhideWhenUsed/>
    <w:rsid w:val="007144A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144A5"/>
    <w:rPr>
      <w:sz w:val="20"/>
      <w:szCs w:val="20"/>
    </w:rPr>
  </w:style>
  <w:style w:type="character" w:styleId="FootnoteReference">
    <w:name w:val="footnote reference"/>
    <w:basedOn w:val="DefaultParagraphFont"/>
    <w:uiPriority w:val="99"/>
    <w:semiHidden/>
    <w:unhideWhenUsed/>
    <w:rsid w:val="007144A5"/>
    <w:rPr>
      <w:vertAlign w:val="superscript"/>
    </w:rPr>
  </w:style>
  <w:style w:type="character" w:styleId="CommentReference">
    <w:name w:val="annotation reference"/>
    <w:basedOn w:val="DefaultParagraphFont"/>
    <w:uiPriority w:val="99"/>
    <w:semiHidden/>
    <w:unhideWhenUsed/>
    <w:rsid w:val="00F11BA9"/>
    <w:rPr>
      <w:sz w:val="16"/>
      <w:szCs w:val="16"/>
    </w:rPr>
  </w:style>
  <w:style w:type="paragraph" w:styleId="CommentText">
    <w:name w:val="annotation text"/>
    <w:basedOn w:val="Normal"/>
    <w:link w:val="CommentTextChar"/>
    <w:uiPriority w:val="99"/>
    <w:semiHidden/>
    <w:unhideWhenUsed/>
    <w:rsid w:val="00F11BA9"/>
    <w:pPr>
      <w:spacing w:line="240" w:lineRule="auto"/>
    </w:pPr>
    <w:rPr>
      <w:sz w:val="20"/>
      <w:szCs w:val="20"/>
    </w:rPr>
  </w:style>
  <w:style w:type="character" w:customStyle="1" w:styleId="CommentTextChar">
    <w:name w:val="Comment Text Char"/>
    <w:basedOn w:val="DefaultParagraphFont"/>
    <w:link w:val="CommentText"/>
    <w:uiPriority w:val="99"/>
    <w:semiHidden/>
    <w:rsid w:val="00F11BA9"/>
    <w:rPr>
      <w:sz w:val="20"/>
      <w:szCs w:val="20"/>
    </w:rPr>
  </w:style>
  <w:style w:type="paragraph" w:styleId="CommentSubject">
    <w:name w:val="annotation subject"/>
    <w:basedOn w:val="CommentText"/>
    <w:next w:val="CommentText"/>
    <w:link w:val="CommentSubjectChar"/>
    <w:uiPriority w:val="99"/>
    <w:semiHidden/>
    <w:unhideWhenUsed/>
    <w:rsid w:val="00F11BA9"/>
    <w:rPr>
      <w:b/>
      <w:bCs/>
    </w:rPr>
  </w:style>
  <w:style w:type="character" w:customStyle="1" w:styleId="CommentSubjectChar">
    <w:name w:val="Comment Subject Char"/>
    <w:basedOn w:val="CommentTextChar"/>
    <w:link w:val="CommentSubject"/>
    <w:uiPriority w:val="99"/>
    <w:semiHidden/>
    <w:rsid w:val="00F11BA9"/>
    <w:rPr>
      <w:b/>
      <w:bCs/>
      <w:sz w:val="20"/>
      <w:szCs w:val="20"/>
    </w:rPr>
  </w:style>
  <w:style w:type="character" w:styleId="Hyperlink">
    <w:name w:val="Hyperlink"/>
    <w:basedOn w:val="DefaultParagraphFont"/>
    <w:uiPriority w:val="99"/>
    <w:unhideWhenUsed/>
    <w:rsid w:val="005A181C"/>
    <w:rPr>
      <w:color w:val="0000FF" w:themeColor="hyperlink"/>
      <w:u w:val="single"/>
    </w:rPr>
  </w:style>
  <w:style w:type="paragraph" w:styleId="BodyText">
    <w:name w:val="Body Text"/>
    <w:basedOn w:val="Normal"/>
    <w:link w:val="BodyTextChar"/>
    <w:rsid w:val="00D06774"/>
    <w:pPr>
      <w:spacing w:after="0" w:line="240"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rsid w:val="00D06774"/>
    <w:rPr>
      <w:rFonts w:ascii="Times New Roman" w:eastAsia="Times New Roman" w:hAnsi="Times New Roman" w:cs="Times New Roman"/>
      <w:szCs w:val="20"/>
    </w:rPr>
  </w:style>
  <w:style w:type="character" w:customStyle="1" w:styleId="Heading2Char">
    <w:name w:val="Heading 2 Char"/>
    <w:basedOn w:val="DefaultParagraphFont"/>
    <w:link w:val="Heading2"/>
    <w:rsid w:val="00D06774"/>
    <w:rPr>
      <w:rFonts w:ascii="Arial" w:eastAsia="Times New Roman" w:hAnsi="Arial" w:cs="Times New Roman"/>
      <w:b/>
      <w:i/>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D06774"/>
    <w:pPr>
      <w:keepNext/>
      <w:spacing w:before="240" w:after="60" w:line="240" w:lineRule="auto"/>
      <w:outlineLvl w:val="1"/>
    </w:pPr>
    <w:rPr>
      <w:rFonts w:ascii="Arial" w:eastAsia="Times New Roman" w:hAnsi="Arial" w:cs="Times New Roman"/>
      <w:b/>
      <w:i/>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144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44A5"/>
    <w:rPr>
      <w:rFonts w:ascii="Tahoma" w:hAnsi="Tahoma" w:cs="Tahoma"/>
      <w:sz w:val="16"/>
      <w:szCs w:val="16"/>
    </w:rPr>
  </w:style>
  <w:style w:type="paragraph" w:styleId="Caption">
    <w:name w:val="caption"/>
    <w:basedOn w:val="Normal"/>
    <w:next w:val="Normal"/>
    <w:uiPriority w:val="99"/>
    <w:unhideWhenUsed/>
    <w:rsid w:val="007144A5"/>
    <w:pPr>
      <w:spacing w:line="240" w:lineRule="auto"/>
      <w:jc w:val="both"/>
    </w:pPr>
    <w:rPr>
      <w:rFonts w:eastAsiaTheme="minorEastAsia"/>
      <w:b/>
      <w:bCs/>
      <w:color w:val="4F81BD" w:themeColor="accent1"/>
      <w:sz w:val="18"/>
      <w:szCs w:val="18"/>
      <w:lang w:val="en-US"/>
    </w:rPr>
  </w:style>
  <w:style w:type="paragraph" w:styleId="FootnoteText">
    <w:name w:val="footnote text"/>
    <w:basedOn w:val="Normal"/>
    <w:link w:val="FootnoteTextChar"/>
    <w:uiPriority w:val="99"/>
    <w:semiHidden/>
    <w:unhideWhenUsed/>
    <w:rsid w:val="007144A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144A5"/>
    <w:rPr>
      <w:sz w:val="20"/>
      <w:szCs w:val="20"/>
    </w:rPr>
  </w:style>
  <w:style w:type="character" w:styleId="FootnoteReference">
    <w:name w:val="footnote reference"/>
    <w:basedOn w:val="DefaultParagraphFont"/>
    <w:uiPriority w:val="99"/>
    <w:semiHidden/>
    <w:unhideWhenUsed/>
    <w:rsid w:val="007144A5"/>
    <w:rPr>
      <w:vertAlign w:val="superscript"/>
    </w:rPr>
  </w:style>
  <w:style w:type="character" w:styleId="CommentReference">
    <w:name w:val="annotation reference"/>
    <w:basedOn w:val="DefaultParagraphFont"/>
    <w:uiPriority w:val="99"/>
    <w:semiHidden/>
    <w:unhideWhenUsed/>
    <w:rsid w:val="00F11BA9"/>
    <w:rPr>
      <w:sz w:val="16"/>
      <w:szCs w:val="16"/>
    </w:rPr>
  </w:style>
  <w:style w:type="paragraph" w:styleId="CommentText">
    <w:name w:val="annotation text"/>
    <w:basedOn w:val="Normal"/>
    <w:link w:val="CommentTextChar"/>
    <w:uiPriority w:val="99"/>
    <w:semiHidden/>
    <w:unhideWhenUsed/>
    <w:rsid w:val="00F11BA9"/>
    <w:pPr>
      <w:spacing w:line="240" w:lineRule="auto"/>
    </w:pPr>
    <w:rPr>
      <w:sz w:val="20"/>
      <w:szCs w:val="20"/>
    </w:rPr>
  </w:style>
  <w:style w:type="character" w:customStyle="1" w:styleId="CommentTextChar">
    <w:name w:val="Comment Text Char"/>
    <w:basedOn w:val="DefaultParagraphFont"/>
    <w:link w:val="CommentText"/>
    <w:uiPriority w:val="99"/>
    <w:semiHidden/>
    <w:rsid w:val="00F11BA9"/>
    <w:rPr>
      <w:sz w:val="20"/>
      <w:szCs w:val="20"/>
    </w:rPr>
  </w:style>
  <w:style w:type="paragraph" w:styleId="CommentSubject">
    <w:name w:val="annotation subject"/>
    <w:basedOn w:val="CommentText"/>
    <w:next w:val="CommentText"/>
    <w:link w:val="CommentSubjectChar"/>
    <w:uiPriority w:val="99"/>
    <w:semiHidden/>
    <w:unhideWhenUsed/>
    <w:rsid w:val="00F11BA9"/>
    <w:rPr>
      <w:b/>
      <w:bCs/>
    </w:rPr>
  </w:style>
  <w:style w:type="character" w:customStyle="1" w:styleId="CommentSubjectChar">
    <w:name w:val="Comment Subject Char"/>
    <w:basedOn w:val="CommentTextChar"/>
    <w:link w:val="CommentSubject"/>
    <w:uiPriority w:val="99"/>
    <w:semiHidden/>
    <w:rsid w:val="00F11BA9"/>
    <w:rPr>
      <w:b/>
      <w:bCs/>
      <w:sz w:val="20"/>
      <w:szCs w:val="20"/>
    </w:rPr>
  </w:style>
  <w:style w:type="character" w:styleId="Hyperlink">
    <w:name w:val="Hyperlink"/>
    <w:basedOn w:val="DefaultParagraphFont"/>
    <w:uiPriority w:val="99"/>
    <w:unhideWhenUsed/>
    <w:rsid w:val="005A181C"/>
    <w:rPr>
      <w:color w:val="0000FF" w:themeColor="hyperlink"/>
      <w:u w:val="single"/>
    </w:rPr>
  </w:style>
  <w:style w:type="paragraph" w:styleId="BodyText">
    <w:name w:val="Body Text"/>
    <w:basedOn w:val="Normal"/>
    <w:link w:val="BodyTextChar"/>
    <w:rsid w:val="00D06774"/>
    <w:pPr>
      <w:spacing w:after="0" w:line="240"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rsid w:val="00D06774"/>
    <w:rPr>
      <w:rFonts w:ascii="Times New Roman" w:eastAsia="Times New Roman" w:hAnsi="Times New Roman" w:cs="Times New Roman"/>
      <w:szCs w:val="20"/>
    </w:rPr>
  </w:style>
  <w:style w:type="character" w:customStyle="1" w:styleId="Heading2Char">
    <w:name w:val="Heading 2 Char"/>
    <w:basedOn w:val="DefaultParagraphFont"/>
    <w:link w:val="Heading2"/>
    <w:rsid w:val="00D06774"/>
    <w:rPr>
      <w:rFonts w:ascii="Arial" w:eastAsia="Times New Roman" w:hAnsi="Arial" w:cs="Times New Roman"/>
      <w:b/>
      <w:i/>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9015458">
      <w:bodyDiv w:val="1"/>
      <w:marLeft w:val="0"/>
      <w:marRight w:val="0"/>
      <w:marTop w:val="0"/>
      <w:marBottom w:val="0"/>
      <w:divBdr>
        <w:top w:val="none" w:sz="0" w:space="0" w:color="auto"/>
        <w:left w:val="none" w:sz="0" w:space="0" w:color="auto"/>
        <w:bottom w:val="none" w:sz="0" w:space="0" w:color="auto"/>
        <w:right w:val="none" w:sz="0" w:space="0" w:color="auto"/>
      </w:divBdr>
    </w:div>
    <w:div w:id="1991404849">
      <w:bodyDiv w:val="1"/>
      <w:marLeft w:val="0"/>
      <w:marRight w:val="0"/>
      <w:marTop w:val="0"/>
      <w:marBottom w:val="0"/>
      <w:divBdr>
        <w:top w:val="none" w:sz="0" w:space="0" w:color="auto"/>
        <w:left w:val="none" w:sz="0" w:space="0" w:color="auto"/>
        <w:bottom w:val="none" w:sz="0" w:space="0" w:color="auto"/>
        <w:right w:val="none" w:sz="0" w:space="0" w:color="auto"/>
      </w:divBdr>
      <w:divsChild>
        <w:div w:id="1280795796">
          <w:marLeft w:val="0"/>
          <w:marRight w:val="0"/>
          <w:marTop w:val="0"/>
          <w:marBottom w:val="0"/>
          <w:divBdr>
            <w:top w:val="none" w:sz="0" w:space="0" w:color="auto"/>
            <w:left w:val="none" w:sz="0" w:space="0" w:color="auto"/>
            <w:bottom w:val="none" w:sz="0" w:space="0" w:color="auto"/>
            <w:right w:val="none" w:sz="0" w:space="0" w:color="auto"/>
          </w:divBdr>
          <w:divsChild>
            <w:div w:id="1929800550">
              <w:marLeft w:val="360"/>
              <w:marRight w:val="0"/>
              <w:marTop w:val="0"/>
              <w:marBottom w:val="0"/>
              <w:divBdr>
                <w:top w:val="none" w:sz="0" w:space="0" w:color="auto"/>
                <w:left w:val="none" w:sz="0" w:space="0" w:color="auto"/>
                <w:bottom w:val="none" w:sz="0" w:space="0" w:color="auto"/>
                <w:right w:val="none" w:sz="0" w:space="0" w:color="auto"/>
              </w:divBdr>
              <w:divsChild>
                <w:div w:id="1967006859">
                  <w:marLeft w:val="0"/>
                  <w:marRight w:val="0"/>
                  <w:marTop w:val="0"/>
                  <w:marBottom w:val="0"/>
                  <w:divBdr>
                    <w:top w:val="none" w:sz="0" w:space="0" w:color="auto"/>
                    <w:left w:val="none" w:sz="0" w:space="0" w:color="auto"/>
                    <w:bottom w:val="none" w:sz="0" w:space="0" w:color="auto"/>
                    <w:right w:val="none" w:sz="0" w:space="0" w:color="auto"/>
                  </w:divBdr>
                  <w:divsChild>
                    <w:div w:id="738021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267444">
          <w:marLeft w:val="345"/>
          <w:marRight w:val="0"/>
          <w:marTop w:val="0"/>
          <w:marBottom w:val="0"/>
          <w:divBdr>
            <w:top w:val="none" w:sz="0" w:space="0" w:color="auto"/>
            <w:left w:val="none" w:sz="0" w:space="0" w:color="auto"/>
            <w:bottom w:val="none" w:sz="0" w:space="0" w:color="auto"/>
            <w:right w:val="none" w:sz="0" w:space="0" w:color="auto"/>
          </w:divBdr>
        </w:div>
        <w:div w:id="1204901421">
          <w:marLeft w:val="0"/>
          <w:marRight w:val="0"/>
          <w:marTop w:val="0"/>
          <w:marBottom w:val="0"/>
          <w:divBdr>
            <w:top w:val="none" w:sz="0" w:space="0" w:color="auto"/>
            <w:left w:val="none" w:sz="0" w:space="0" w:color="auto"/>
            <w:bottom w:val="none" w:sz="0" w:space="0" w:color="auto"/>
            <w:right w:val="none" w:sz="0" w:space="0" w:color="auto"/>
          </w:divBdr>
          <w:divsChild>
            <w:div w:id="1406803929">
              <w:marLeft w:val="360"/>
              <w:marRight w:val="0"/>
              <w:marTop w:val="0"/>
              <w:marBottom w:val="0"/>
              <w:divBdr>
                <w:top w:val="none" w:sz="0" w:space="0" w:color="auto"/>
                <w:left w:val="none" w:sz="0" w:space="0" w:color="auto"/>
                <w:bottom w:val="none" w:sz="0" w:space="0" w:color="auto"/>
                <w:right w:val="none" w:sz="0" w:space="0" w:color="auto"/>
              </w:divBdr>
              <w:divsChild>
                <w:div w:id="355694876">
                  <w:marLeft w:val="0"/>
                  <w:marRight w:val="0"/>
                  <w:marTop w:val="0"/>
                  <w:marBottom w:val="0"/>
                  <w:divBdr>
                    <w:top w:val="none" w:sz="0" w:space="0" w:color="auto"/>
                    <w:left w:val="none" w:sz="0" w:space="0" w:color="auto"/>
                    <w:bottom w:val="none" w:sz="0" w:space="0" w:color="auto"/>
                    <w:right w:val="none" w:sz="0" w:space="0" w:color="auto"/>
                  </w:divBdr>
                  <w:divsChild>
                    <w:div w:id="477259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4310468">
          <w:marLeft w:val="34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almorel.co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oleo@dtu.d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jon.kirkerud@nmbu.no"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klsk@dtu.dk" TargetMode="External"/><Relationship Id="rId4" Type="http://schemas.microsoft.com/office/2007/relationships/stylesWithEffects" Target="stylesWithEffects.xml"/><Relationship Id="rId9" Type="http://schemas.openxmlformats.org/officeDocument/2006/relationships/hyperlink" Target="mailto:clberg@dtu.d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4B9DA65F-C9B7-4907-B373-B9177EFDB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2631</Words>
  <Characters>15001</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DTU</Company>
  <LinksUpToDate>false</LinksUpToDate>
  <CharactersWithSpaces>17597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 Bergaentzlé</dc:creator>
  <cp:lastModifiedBy>Claire Bergaentzlé</cp:lastModifiedBy>
  <cp:revision>2</cp:revision>
  <dcterms:created xsi:type="dcterms:W3CDTF">2018-12-17T11:43:00Z</dcterms:created>
  <dcterms:modified xsi:type="dcterms:W3CDTF">2018-12-17T11:43:00Z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16th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(author-date)</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4818285d-e060-30c8-919a-215d263d8f48</vt:lpwstr>
  </property>
  <property fmtid="{D5CDD505-2E9C-101B-9397-08002B2CF9AE}" pid="24" name="Mendeley Citation Style_1">
    <vt:lpwstr>http://www.zotero.org/styles/harvard1</vt:lpwstr>
  </property>
</Properties>
</file>