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9F1" w:rsidRDefault="00DC69F1" w:rsidP="00DC69F1">
      <w:pPr>
        <w:framePr w:w="10800" w:h="2142" w:hRule="exact" w:hSpace="187" w:wrap="auto" w:vAnchor="page" w:hAnchor="page" w:x="714" w:y="1085"/>
        <w:jc w:val="center"/>
      </w:pPr>
      <w:r>
        <w:t xml:space="preserve">       </w:t>
      </w:r>
      <w:r>
        <w:tab/>
      </w:r>
      <w:r>
        <w:tab/>
      </w:r>
      <w:r>
        <w:tab/>
      </w:r>
      <w:r>
        <w:tab/>
      </w:r>
      <w:r>
        <w:tab/>
      </w:r>
      <w:r>
        <w:tab/>
      </w:r>
      <w:r>
        <w:tab/>
      </w:r>
      <w:r>
        <w:tab/>
      </w:r>
      <w:r>
        <w:tab/>
        <w:t xml:space="preserve">                                                 </w:t>
      </w:r>
      <w:r>
        <w:tab/>
      </w:r>
    </w:p>
    <w:p w:rsidR="00DC69F1" w:rsidRDefault="00A87BB3" w:rsidP="00A002DD">
      <w:pPr>
        <w:pStyle w:val="Corpsdetexte"/>
        <w:framePr w:w="10800" w:h="2142" w:hRule="exact" w:hSpace="187" w:wrap="auto" w:vAnchor="page" w:hAnchor="page" w:x="714" w:y="1085"/>
        <w:ind w:firstLine="720"/>
        <w:rPr>
          <w:b/>
          <w:sz w:val="28"/>
          <w:szCs w:val="28"/>
        </w:rPr>
      </w:pPr>
      <w:r>
        <w:rPr>
          <w:b/>
          <w:sz w:val="28"/>
          <w:szCs w:val="28"/>
        </w:rPr>
        <w:t xml:space="preserve">Cost Function Analysis </w:t>
      </w:r>
      <w:r w:rsidR="00130E42">
        <w:rPr>
          <w:b/>
          <w:sz w:val="28"/>
          <w:szCs w:val="28"/>
        </w:rPr>
        <w:t>of</w:t>
      </w:r>
      <w:r>
        <w:rPr>
          <w:b/>
          <w:sz w:val="28"/>
          <w:szCs w:val="28"/>
        </w:rPr>
        <w:t xml:space="preserve"> the </w:t>
      </w:r>
      <w:r w:rsidR="00B73A00">
        <w:rPr>
          <w:b/>
          <w:sz w:val="28"/>
          <w:szCs w:val="28"/>
        </w:rPr>
        <w:t>Power Distribution Network</w:t>
      </w:r>
    </w:p>
    <w:p w:rsidR="00DC69F1" w:rsidRPr="00B73A00" w:rsidRDefault="00A87BB3" w:rsidP="00DC69F1">
      <w:pPr>
        <w:pStyle w:val="Corpsdetexte"/>
        <w:framePr w:w="10800" w:h="2142" w:hRule="exact" w:hSpace="187" w:wrap="auto" w:vAnchor="page" w:hAnchor="page" w:x="714" w:y="1085"/>
        <w:jc w:val="right"/>
        <w:rPr>
          <w:sz w:val="20"/>
          <w:lang w:val="fr-FR"/>
        </w:rPr>
      </w:pPr>
      <w:r w:rsidRPr="00B73A00">
        <w:rPr>
          <w:sz w:val="20"/>
          <w:lang w:val="fr-FR"/>
        </w:rPr>
        <w:t xml:space="preserve">Mathieu Bordigoni, Enedis, </w:t>
      </w:r>
      <w:r w:rsidR="00B73A00" w:rsidRPr="00B73A00">
        <w:rPr>
          <w:sz w:val="20"/>
          <w:lang w:val="fr-FR"/>
        </w:rPr>
        <w:t>+33 181975393, mathieu.bordigoni@enedis.fr</w:t>
      </w:r>
    </w:p>
    <w:p w:rsidR="00DC69F1" w:rsidRPr="00D767DA" w:rsidRDefault="00B73A00" w:rsidP="00DC69F1">
      <w:pPr>
        <w:pStyle w:val="Corpsdetexte"/>
        <w:framePr w:w="10800" w:h="2142" w:hRule="exact" w:hSpace="187" w:wrap="auto" w:vAnchor="page" w:hAnchor="page" w:x="714" w:y="1085"/>
        <w:jc w:val="right"/>
        <w:rPr>
          <w:sz w:val="20"/>
        </w:rPr>
      </w:pPr>
      <w:r>
        <w:rPr>
          <w:sz w:val="20"/>
        </w:rPr>
        <w:t>Laurent Gilotte, Enedis, +33 1819749</w:t>
      </w:r>
      <w:r w:rsidRPr="00B73A00">
        <w:rPr>
          <w:sz w:val="20"/>
        </w:rPr>
        <w:t>38</w:t>
      </w:r>
      <w:r>
        <w:rPr>
          <w:sz w:val="20"/>
        </w:rPr>
        <w:t>,laurent.gilotte@enedis.fr</w:t>
      </w:r>
      <w:r w:rsidRPr="00B73A00">
        <w:rPr>
          <w:sz w:val="20"/>
        </w:rPr>
        <w:t xml:space="preserve">     </w:t>
      </w:r>
      <w:r w:rsidR="00DC69F1" w:rsidRPr="00D767DA">
        <w:rPr>
          <w:sz w:val="20"/>
        </w:rPr>
        <w:t xml:space="preserve"> </w:t>
      </w:r>
    </w:p>
    <w:p w:rsidR="00DC69F1" w:rsidRDefault="00DC69F1" w:rsidP="000653B6">
      <w:pPr>
        <w:pStyle w:val="Titre2"/>
        <w:rPr>
          <w:i w:val="0"/>
          <w:sz w:val="24"/>
          <w:szCs w:val="24"/>
        </w:rPr>
      </w:pPr>
      <w:r w:rsidRPr="00476853">
        <w:rPr>
          <w:i w:val="0"/>
          <w:sz w:val="24"/>
          <w:szCs w:val="24"/>
        </w:rPr>
        <w:t>Overview</w:t>
      </w:r>
    </w:p>
    <w:p w:rsidR="000653B6" w:rsidRPr="000653B6" w:rsidRDefault="000653B6" w:rsidP="000653B6"/>
    <w:p w:rsidR="00F16635" w:rsidRDefault="00F16635" w:rsidP="00F16635">
      <w:pPr>
        <w:jc w:val="both"/>
        <w:rPr>
          <w:lang w:val="en-US"/>
        </w:rPr>
      </w:pPr>
      <w:r>
        <w:rPr>
          <w:lang w:val="en-US"/>
        </w:rPr>
        <w:t xml:space="preserve">Most economic analyses </w:t>
      </w:r>
      <w:r w:rsidR="00655121">
        <w:rPr>
          <w:lang w:val="en-US"/>
        </w:rPr>
        <w:t>on</w:t>
      </w:r>
      <w:r>
        <w:rPr>
          <w:lang w:val="en-US"/>
        </w:rPr>
        <w:t xml:space="preserve"> efficient pricing for the electricity grid </w:t>
      </w:r>
      <w:r w:rsidR="00655121">
        <w:rPr>
          <w:lang w:val="en-US"/>
        </w:rPr>
        <w:t>use</w:t>
      </w:r>
      <w:r>
        <w:rPr>
          <w:lang w:val="en-US"/>
        </w:rPr>
        <w:t xml:space="preserve"> strong assumptions on the cost </w:t>
      </w:r>
      <w:r w:rsidR="00110E21">
        <w:rPr>
          <w:lang w:val="en-US"/>
        </w:rPr>
        <w:t>function;</w:t>
      </w:r>
      <w:r>
        <w:rPr>
          <w:lang w:val="en-US"/>
        </w:rPr>
        <w:t xml:space="preserve"> often </w:t>
      </w:r>
      <w:r w:rsidR="00655121">
        <w:rPr>
          <w:lang w:val="en-US"/>
        </w:rPr>
        <w:t xml:space="preserve">assuming that </w:t>
      </w:r>
      <w:r>
        <w:rPr>
          <w:lang w:val="en-US"/>
        </w:rPr>
        <w:t xml:space="preserve">network costs are fixed. </w:t>
      </w:r>
      <w:r w:rsidR="00655121">
        <w:rPr>
          <w:lang w:val="en-US"/>
        </w:rPr>
        <w:t>However, estimated tariff</w:t>
      </w:r>
      <w:r>
        <w:rPr>
          <w:lang w:val="en-US"/>
        </w:rPr>
        <w:t xml:space="preserve"> consequences on the network and users still remain highly</w:t>
      </w:r>
      <w:r w:rsidR="00A25183">
        <w:rPr>
          <w:lang w:val="en-US"/>
        </w:rPr>
        <w:t xml:space="preserve"> dependent on initial hypotheses ; even if sensitivity studies are carried out more</w:t>
      </w:r>
      <w:r w:rsidR="00655121">
        <w:rPr>
          <w:lang w:val="en-US"/>
        </w:rPr>
        <w:t xml:space="preserve"> and more</w:t>
      </w:r>
      <w:r w:rsidR="00A25183">
        <w:rPr>
          <w:lang w:val="en-US"/>
        </w:rPr>
        <w:t xml:space="preserve"> frequently</w:t>
      </w:r>
      <w:r w:rsidR="00A10F23">
        <w:rPr>
          <w:lang w:val="en-US"/>
        </w:rPr>
        <w:t xml:space="preserve"> </w:t>
      </w:r>
      <w:r w:rsidR="00B476C6">
        <w:rPr>
          <w:lang w:val="en-US"/>
        </w:rPr>
        <w:t>[</w:t>
      </w:r>
      <w:r w:rsidR="00F77AA9">
        <w:rPr>
          <w:lang w:val="en-US"/>
        </w:rPr>
        <w:t>1,2,3]</w:t>
      </w:r>
      <w:r w:rsidR="00A25183">
        <w:rPr>
          <w:lang w:val="en-US"/>
        </w:rPr>
        <w:t>.</w:t>
      </w:r>
    </w:p>
    <w:p w:rsidR="00F16635" w:rsidRDefault="00F16635" w:rsidP="00F16635">
      <w:pPr>
        <w:jc w:val="both"/>
        <w:rPr>
          <w:lang w:val="en-US"/>
        </w:rPr>
      </w:pPr>
    </w:p>
    <w:p w:rsidR="00A10F23" w:rsidRDefault="00A10F23" w:rsidP="00F16635">
      <w:pPr>
        <w:jc w:val="both"/>
        <w:rPr>
          <w:lang w:val="en-US"/>
        </w:rPr>
      </w:pPr>
      <w:r>
        <w:rPr>
          <w:lang w:val="en-US"/>
        </w:rPr>
        <w:t xml:space="preserve">Inversely, most investments decisions </w:t>
      </w:r>
      <w:r w:rsidR="000F1DB4">
        <w:rPr>
          <w:lang w:val="en-US"/>
        </w:rPr>
        <w:t>by Distribution System O</w:t>
      </w:r>
      <w:r>
        <w:rPr>
          <w:lang w:val="en-US"/>
        </w:rPr>
        <w:t xml:space="preserve">perators </w:t>
      </w:r>
      <w:r w:rsidR="000F1DB4">
        <w:rPr>
          <w:lang w:val="en-US"/>
        </w:rPr>
        <w:t xml:space="preserve">(DSO) </w:t>
      </w:r>
      <w:r>
        <w:rPr>
          <w:lang w:val="en-US"/>
        </w:rPr>
        <w:t xml:space="preserve">are </w:t>
      </w:r>
      <w:r w:rsidR="000F1DB4">
        <w:rPr>
          <w:lang w:val="en-US"/>
        </w:rPr>
        <w:t>performed</w:t>
      </w:r>
      <w:r>
        <w:rPr>
          <w:lang w:val="en-US"/>
        </w:rPr>
        <w:t xml:space="preserve"> on a case-by-case </w:t>
      </w:r>
      <w:r w:rsidR="00110E21">
        <w:rPr>
          <w:lang w:val="en-US"/>
        </w:rPr>
        <w:t>basis;</w:t>
      </w:r>
      <w:r>
        <w:rPr>
          <w:lang w:val="en-US"/>
        </w:rPr>
        <w:t xml:space="preserve"> due to local planning constraints </w:t>
      </w:r>
      <w:r w:rsidR="000F1DB4">
        <w:rPr>
          <w:lang w:val="en-US"/>
        </w:rPr>
        <w:t xml:space="preserve">such </w:t>
      </w:r>
      <w:r w:rsidR="00110E21">
        <w:rPr>
          <w:lang w:val="en-US"/>
        </w:rPr>
        <w:t>as:</w:t>
      </w:r>
      <w:r>
        <w:rPr>
          <w:lang w:val="en-US"/>
        </w:rPr>
        <w:t xml:space="preserve"> </w:t>
      </w:r>
    </w:p>
    <w:p w:rsidR="00A10F23" w:rsidRPr="00A10F23" w:rsidRDefault="00A10F23" w:rsidP="00A10F23">
      <w:pPr>
        <w:ind w:left="567" w:firstLine="142"/>
        <w:jc w:val="both"/>
        <w:rPr>
          <w:lang w:val="en-US"/>
        </w:rPr>
      </w:pPr>
      <w:r w:rsidRPr="00A10F23">
        <w:rPr>
          <w:lang w:val="en-US"/>
        </w:rPr>
        <w:t>-</w:t>
      </w:r>
      <w:r w:rsidRPr="00A10F23">
        <w:rPr>
          <w:lang w:val="en-US"/>
        </w:rPr>
        <w:tab/>
        <w:t xml:space="preserve">Diversity of local situations </w:t>
      </w:r>
      <w:r w:rsidR="00740A76">
        <w:rPr>
          <w:lang w:val="en-US"/>
        </w:rPr>
        <w:t>(topography, existing technology, local requirements)</w:t>
      </w:r>
    </w:p>
    <w:p w:rsidR="00A10F23" w:rsidRPr="00A10F23" w:rsidRDefault="00A10F23" w:rsidP="00A10F23">
      <w:pPr>
        <w:ind w:left="567" w:firstLine="142"/>
        <w:jc w:val="both"/>
        <w:rPr>
          <w:lang w:val="en-US"/>
        </w:rPr>
      </w:pPr>
      <w:r w:rsidRPr="00A10F23">
        <w:rPr>
          <w:lang w:val="en-US"/>
        </w:rPr>
        <w:t>-</w:t>
      </w:r>
      <w:r w:rsidRPr="00A10F23">
        <w:rPr>
          <w:lang w:val="en-US"/>
        </w:rPr>
        <w:tab/>
        <w:t>Incremental putty-clay character of grid investments</w:t>
      </w:r>
      <w:r w:rsidR="000F1DB4">
        <w:rPr>
          <w:lang w:val="en-US"/>
        </w:rPr>
        <w:t xml:space="preserve"> (historical path dependence)</w:t>
      </w:r>
    </w:p>
    <w:p w:rsidR="00A10F23" w:rsidRDefault="00A10F23" w:rsidP="00A10F23">
      <w:pPr>
        <w:ind w:left="567" w:firstLine="142"/>
        <w:jc w:val="both"/>
        <w:rPr>
          <w:lang w:val="en-US"/>
        </w:rPr>
      </w:pPr>
      <w:r w:rsidRPr="00A10F23">
        <w:rPr>
          <w:lang w:val="en-US"/>
        </w:rPr>
        <w:t>-</w:t>
      </w:r>
      <w:r w:rsidRPr="00A10F23">
        <w:rPr>
          <w:lang w:val="en-US"/>
        </w:rPr>
        <w:tab/>
        <w:t>Uncertainties on demand</w:t>
      </w:r>
      <w:r w:rsidR="000F1DB4">
        <w:rPr>
          <w:lang w:val="en-US"/>
        </w:rPr>
        <w:t xml:space="preserve"> (climatic variation, changes in electricity demand, etc.)</w:t>
      </w:r>
    </w:p>
    <w:p w:rsidR="00F16635" w:rsidRDefault="00F16635" w:rsidP="00F16635">
      <w:pPr>
        <w:jc w:val="both"/>
        <w:rPr>
          <w:lang w:val="en-US"/>
        </w:rPr>
      </w:pPr>
    </w:p>
    <w:p w:rsidR="00E44509" w:rsidRPr="00DB77B3" w:rsidRDefault="000F1DB4" w:rsidP="00E44509">
      <w:pPr>
        <w:jc w:val="both"/>
        <w:rPr>
          <w:lang w:val="en-US"/>
        </w:rPr>
      </w:pPr>
      <w:r>
        <w:rPr>
          <w:lang w:val="en-US"/>
        </w:rPr>
        <w:t xml:space="preserve">In this paper, we present a comprehensive econometric analysis of the total stock of network </w:t>
      </w:r>
      <w:r w:rsidR="002549C8">
        <w:rPr>
          <w:lang w:val="en-US"/>
        </w:rPr>
        <w:t>equipment</w:t>
      </w:r>
      <w:r w:rsidR="00110E21">
        <w:rPr>
          <w:lang w:val="en-US"/>
        </w:rPr>
        <w:t>s</w:t>
      </w:r>
      <w:r w:rsidR="00E44509">
        <w:rPr>
          <w:lang w:val="en-US"/>
        </w:rPr>
        <w:t xml:space="preserve"> -</w:t>
      </w:r>
      <w:r>
        <w:rPr>
          <w:lang w:val="en-US"/>
        </w:rPr>
        <w:t xml:space="preserve"> by local area</w:t>
      </w:r>
      <w:r w:rsidR="00E44509">
        <w:rPr>
          <w:lang w:val="en-US"/>
        </w:rPr>
        <w:t xml:space="preserve"> -</w:t>
      </w:r>
      <w:r>
        <w:rPr>
          <w:lang w:val="en-US"/>
        </w:rPr>
        <w:t xml:space="preserve"> in relation to </w:t>
      </w:r>
      <w:r w:rsidR="00E44509">
        <w:rPr>
          <w:lang w:val="en-US"/>
        </w:rPr>
        <w:t xml:space="preserve">local consumption </w:t>
      </w:r>
      <w:r w:rsidR="00110E21">
        <w:rPr>
          <w:lang w:val="en-US"/>
        </w:rPr>
        <w:t>behaviors</w:t>
      </w:r>
      <w:r w:rsidR="00E44509">
        <w:rPr>
          <w:lang w:val="en-US"/>
        </w:rPr>
        <w:t xml:space="preserve"> and to the geographical spread of users. The issue is to identify costs associated with the different services provided by the distribution </w:t>
      </w:r>
      <w:r w:rsidR="00110E21">
        <w:rPr>
          <w:lang w:val="en-US"/>
        </w:rPr>
        <w:t>grid:</w:t>
      </w:r>
      <w:r w:rsidR="00E44509" w:rsidRPr="00DB77B3">
        <w:rPr>
          <w:lang w:val="en-US"/>
        </w:rPr>
        <w:t xml:space="preserve"> network access – all grid services are provided at the location contracted b</w:t>
      </w:r>
      <w:r w:rsidR="002549C8">
        <w:rPr>
          <w:lang w:val="en-US"/>
        </w:rPr>
        <w:t>y the client – guaranteed power and</w:t>
      </w:r>
      <w:r w:rsidR="00E44509" w:rsidRPr="00DB77B3">
        <w:rPr>
          <w:lang w:val="en-US"/>
        </w:rPr>
        <w:t xml:space="preserve"> ene</w:t>
      </w:r>
      <w:r w:rsidR="00F77AA9">
        <w:rPr>
          <w:lang w:val="en-US"/>
        </w:rPr>
        <w:t>rgy transit [4</w:t>
      </w:r>
      <w:r w:rsidR="00E44509" w:rsidRPr="00DB77B3">
        <w:rPr>
          <w:lang w:val="en-US"/>
        </w:rPr>
        <w:t>]. An optimal tariff design would reflect network costs related with each of these services, as well as the cost function.</w:t>
      </w:r>
    </w:p>
    <w:p w:rsidR="00A87BB3" w:rsidRPr="00A87BB3" w:rsidRDefault="00DC69F1" w:rsidP="00A87BB3">
      <w:pPr>
        <w:pStyle w:val="Titre2"/>
        <w:rPr>
          <w:i w:val="0"/>
          <w:sz w:val="24"/>
          <w:szCs w:val="24"/>
        </w:rPr>
      </w:pPr>
      <w:r w:rsidRPr="00D767DA">
        <w:rPr>
          <w:i w:val="0"/>
          <w:sz w:val="24"/>
          <w:szCs w:val="24"/>
        </w:rPr>
        <w:t>Methods</w:t>
      </w:r>
    </w:p>
    <w:p w:rsidR="005D7C49" w:rsidRDefault="005D7C49" w:rsidP="00A87BB3">
      <w:pPr>
        <w:pStyle w:val="Titre2"/>
        <w:rPr>
          <w:rFonts w:ascii="Times New Roman" w:hAnsi="Times New Roman"/>
          <w:b w:val="0"/>
          <w:i w:val="0"/>
          <w:sz w:val="20"/>
        </w:rPr>
      </w:pPr>
      <w:r>
        <w:rPr>
          <w:rFonts w:ascii="Times New Roman" w:hAnsi="Times New Roman"/>
          <w:b w:val="0"/>
          <w:i w:val="0"/>
          <w:sz w:val="20"/>
        </w:rPr>
        <w:t>This study proposes a new methodology to estimate a cost function for the distribution grid that can be used for network pricing</w:t>
      </w:r>
      <w:r w:rsidR="002549C8">
        <w:rPr>
          <w:rFonts w:ascii="Times New Roman" w:hAnsi="Times New Roman"/>
          <w:b w:val="0"/>
          <w:i w:val="0"/>
          <w:sz w:val="20"/>
        </w:rPr>
        <w:t xml:space="preserve"> with marginal costs</w:t>
      </w:r>
      <w:r>
        <w:rPr>
          <w:rFonts w:ascii="Times New Roman" w:hAnsi="Times New Roman"/>
          <w:b w:val="0"/>
          <w:i w:val="0"/>
          <w:sz w:val="20"/>
        </w:rPr>
        <w:t xml:space="preserve">. </w:t>
      </w:r>
    </w:p>
    <w:p w:rsidR="00A87BB3" w:rsidRPr="00A87BB3" w:rsidRDefault="00A87BB3" w:rsidP="008C4F79">
      <w:pPr>
        <w:pStyle w:val="Titre2"/>
        <w:jc w:val="both"/>
        <w:rPr>
          <w:rFonts w:ascii="Times New Roman" w:hAnsi="Times New Roman"/>
          <w:b w:val="0"/>
          <w:i w:val="0"/>
          <w:sz w:val="20"/>
        </w:rPr>
      </w:pPr>
      <w:r w:rsidRPr="00A87BB3">
        <w:rPr>
          <w:rFonts w:ascii="Times New Roman" w:hAnsi="Times New Roman"/>
          <w:b w:val="0"/>
          <w:i w:val="0"/>
          <w:sz w:val="20"/>
        </w:rPr>
        <w:t xml:space="preserve">Firstly, each electrical equipment – transformers, power lines, civil engineering </w:t>
      </w:r>
      <w:r w:rsidR="008C4F79">
        <w:rPr>
          <w:rFonts w:ascii="Times New Roman" w:hAnsi="Times New Roman"/>
          <w:b w:val="0"/>
          <w:i w:val="0"/>
          <w:sz w:val="20"/>
        </w:rPr>
        <w:t>–</w:t>
      </w:r>
      <w:r w:rsidRPr="00A87BB3">
        <w:rPr>
          <w:rFonts w:ascii="Times New Roman" w:hAnsi="Times New Roman"/>
          <w:b w:val="0"/>
          <w:i w:val="0"/>
          <w:sz w:val="20"/>
        </w:rPr>
        <w:t xml:space="preserve"> </w:t>
      </w:r>
      <w:r w:rsidR="008C4F79">
        <w:rPr>
          <w:rFonts w:ascii="Times New Roman" w:hAnsi="Times New Roman"/>
          <w:b w:val="0"/>
          <w:i w:val="0"/>
          <w:sz w:val="20"/>
        </w:rPr>
        <w:t>downstream of</w:t>
      </w:r>
      <w:r w:rsidRPr="00A87BB3">
        <w:rPr>
          <w:rFonts w:ascii="Times New Roman" w:hAnsi="Times New Roman"/>
          <w:b w:val="0"/>
          <w:i w:val="0"/>
          <w:sz w:val="20"/>
        </w:rPr>
        <w:t xml:space="preserve"> a </w:t>
      </w:r>
      <w:r w:rsidR="008C4F79">
        <w:rPr>
          <w:rFonts w:ascii="Times New Roman" w:hAnsi="Times New Roman"/>
          <w:b w:val="0"/>
          <w:i w:val="0"/>
          <w:sz w:val="20"/>
        </w:rPr>
        <w:t xml:space="preserve">network circuit, </w:t>
      </w:r>
      <w:r w:rsidR="001C5F0D">
        <w:rPr>
          <w:rFonts w:ascii="Times New Roman" w:hAnsi="Times New Roman"/>
          <w:b w:val="0"/>
          <w:i w:val="0"/>
          <w:sz w:val="20"/>
        </w:rPr>
        <w:t>either for medium or low voltages netwo</w:t>
      </w:r>
      <w:r w:rsidR="008C4F79">
        <w:rPr>
          <w:rFonts w:ascii="Times New Roman" w:hAnsi="Times New Roman"/>
          <w:b w:val="0"/>
          <w:i w:val="0"/>
          <w:sz w:val="20"/>
        </w:rPr>
        <w:t xml:space="preserve">rks, </w:t>
      </w:r>
      <w:r w:rsidR="00F77AA9">
        <w:rPr>
          <w:rFonts w:ascii="Times New Roman" w:hAnsi="Times New Roman"/>
          <w:b w:val="0"/>
          <w:i w:val="0"/>
          <w:sz w:val="20"/>
        </w:rPr>
        <w:t>is valued at a standard cost [5</w:t>
      </w:r>
      <w:r w:rsidRPr="00A87BB3">
        <w:rPr>
          <w:rFonts w:ascii="Times New Roman" w:hAnsi="Times New Roman"/>
          <w:b w:val="0"/>
          <w:i w:val="0"/>
          <w:sz w:val="20"/>
        </w:rPr>
        <w:t>].</w:t>
      </w:r>
      <w:r w:rsidR="008C4F79">
        <w:rPr>
          <w:rFonts w:ascii="Times New Roman" w:hAnsi="Times New Roman"/>
          <w:b w:val="0"/>
          <w:i w:val="0"/>
          <w:sz w:val="20"/>
        </w:rPr>
        <w:t xml:space="preserve"> </w:t>
      </w:r>
      <w:r w:rsidRPr="00A87BB3">
        <w:rPr>
          <w:rFonts w:ascii="Times New Roman" w:hAnsi="Times New Roman"/>
          <w:b w:val="0"/>
          <w:i w:val="0"/>
          <w:sz w:val="20"/>
        </w:rPr>
        <w:t>In parallel, consumption data are aggregated at the same circuit level – number and type of customers, annual consumption, subscribed maximum power load, distributed generation installed capacity– as well as data on the network environment as the geographical density</w:t>
      </w:r>
      <w:r w:rsidR="008C4F79">
        <w:rPr>
          <w:rFonts w:ascii="Times New Roman" w:hAnsi="Times New Roman"/>
          <w:b w:val="0"/>
          <w:i w:val="0"/>
          <w:sz w:val="20"/>
        </w:rPr>
        <w:t xml:space="preserve"> per cluster</w:t>
      </w:r>
      <w:r w:rsidRPr="00A87BB3">
        <w:rPr>
          <w:rFonts w:ascii="Times New Roman" w:hAnsi="Times New Roman"/>
          <w:b w:val="0"/>
          <w:i w:val="0"/>
          <w:sz w:val="20"/>
        </w:rPr>
        <w:t xml:space="preserve"> of customers. </w:t>
      </w:r>
    </w:p>
    <w:p w:rsidR="00DC69F1" w:rsidRPr="00A247C7" w:rsidRDefault="00A87BB3" w:rsidP="00A87BB3">
      <w:pPr>
        <w:pStyle w:val="Titre2"/>
        <w:rPr>
          <w:rFonts w:ascii="Times New Roman" w:hAnsi="Times New Roman"/>
          <w:i w:val="0"/>
          <w:sz w:val="20"/>
        </w:rPr>
      </w:pPr>
      <w:r w:rsidRPr="00A87BB3">
        <w:rPr>
          <w:rFonts w:ascii="Times New Roman" w:hAnsi="Times New Roman"/>
          <w:b w:val="0"/>
          <w:i w:val="0"/>
          <w:sz w:val="20"/>
        </w:rPr>
        <w:t xml:space="preserve">As a second step, an econometric model estimates coefficients of the cost function between aggregated demand and network value for each circuit of the distribution grid. A log-log transformation is </w:t>
      </w:r>
      <w:r w:rsidR="00A058E3">
        <w:rPr>
          <w:rFonts w:ascii="Times New Roman" w:hAnsi="Times New Roman"/>
          <w:b w:val="0"/>
          <w:i w:val="0"/>
          <w:sz w:val="20"/>
        </w:rPr>
        <w:t xml:space="preserve">then </w:t>
      </w:r>
      <w:r w:rsidRPr="00A87BB3">
        <w:rPr>
          <w:rFonts w:ascii="Times New Roman" w:hAnsi="Times New Roman"/>
          <w:b w:val="0"/>
          <w:i w:val="0"/>
          <w:sz w:val="20"/>
        </w:rPr>
        <w:t>performed, with network costs per customer as the explained variable</w:t>
      </w:r>
    </w:p>
    <w:p w:rsidR="00DC69F1" w:rsidRPr="00D767DA" w:rsidRDefault="00DC69F1" w:rsidP="00DC69F1">
      <w:pPr>
        <w:pStyle w:val="Titre2"/>
        <w:rPr>
          <w:i w:val="0"/>
          <w:sz w:val="24"/>
          <w:szCs w:val="24"/>
        </w:rPr>
      </w:pPr>
      <w:r w:rsidRPr="00D767DA">
        <w:rPr>
          <w:i w:val="0"/>
          <w:sz w:val="24"/>
          <w:szCs w:val="24"/>
        </w:rPr>
        <w:t>Results</w:t>
      </w:r>
    </w:p>
    <w:p w:rsidR="00A058E3" w:rsidRDefault="00A87BB3">
      <w:pPr>
        <w:pStyle w:val="Titre2"/>
        <w:jc w:val="both"/>
        <w:rPr>
          <w:rFonts w:ascii="Times New Roman" w:hAnsi="Times New Roman"/>
          <w:b w:val="0"/>
          <w:i w:val="0"/>
          <w:sz w:val="20"/>
        </w:rPr>
      </w:pPr>
      <w:r w:rsidRPr="00A87BB3">
        <w:rPr>
          <w:rFonts w:ascii="Times New Roman" w:hAnsi="Times New Roman"/>
          <w:b w:val="0"/>
          <w:i w:val="0"/>
          <w:sz w:val="20"/>
        </w:rPr>
        <w:t>This method is tested on data from Enedis; the main French Distribution System Operator (DSO). Using more than 2,200 observations at the level of High/Medium Voltage</w:t>
      </w:r>
      <w:r w:rsidR="00A058E3">
        <w:rPr>
          <w:rFonts w:ascii="Times New Roman" w:hAnsi="Times New Roman"/>
          <w:b w:val="0"/>
          <w:i w:val="0"/>
          <w:sz w:val="20"/>
        </w:rPr>
        <w:t xml:space="preserve"> (HV/MV)</w:t>
      </w:r>
      <w:r w:rsidRPr="00A87BB3">
        <w:rPr>
          <w:rFonts w:ascii="Times New Roman" w:hAnsi="Times New Roman"/>
          <w:b w:val="0"/>
          <w:i w:val="0"/>
          <w:sz w:val="20"/>
        </w:rPr>
        <w:t xml:space="preserve"> substations</w:t>
      </w:r>
      <w:r w:rsidR="00A058E3">
        <w:rPr>
          <w:rFonts w:ascii="Times New Roman" w:hAnsi="Times New Roman"/>
          <w:b w:val="0"/>
          <w:i w:val="0"/>
          <w:sz w:val="20"/>
        </w:rPr>
        <w:t xml:space="preserve"> and</w:t>
      </w:r>
      <w:r w:rsidR="00385908">
        <w:rPr>
          <w:rFonts w:ascii="Times New Roman" w:hAnsi="Times New Roman"/>
          <w:b w:val="0"/>
          <w:i w:val="0"/>
          <w:sz w:val="20"/>
        </w:rPr>
        <w:t xml:space="preserve"> a</w:t>
      </w:r>
      <w:r w:rsidR="00A058E3">
        <w:rPr>
          <w:rFonts w:ascii="Times New Roman" w:hAnsi="Times New Roman"/>
          <w:b w:val="0"/>
          <w:i w:val="0"/>
          <w:sz w:val="20"/>
        </w:rPr>
        <w:t xml:space="preserve"> random sample of about 10.000 </w:t>
      </w:r>
      <w:r w:rsidR="00110E21">
        <w:rPr>
          <w:rFonts w:ascii="Times New Roman" w:hAnsi="Times New Roman"/>
          <w:b w:val="0"/>
          <w:i w:val="0"/>
          <w:sz w:val="20"/>
        </w:rPr>
        <w:t>observations</w:t>
      </w:r>
      <w:r w:rsidR="00A058E3">
        <w:rPr>
          <w:rFonts w:ascii="Times New Roman" w:hAnsi="Times New Roman"/>
          <w:b w:val="0"/>
          <w:i w:val="0"/>
          <w:sz w:val="20"/>
        </w:rPr>
        <w:t xml:space="preserve"> at the</w:t>
      </w:r>
      <w:r w:rsidR="00385908">
        <w:rPr>
          <w:rFonts w:ascii="Times New Roman" w:hAnsi="Times New Roman"/>
          <w:b w:val="0"/>
          <w:i w:val="0"/>
          <w:sz w:val="20"/>
        </w:rPr>
        <w:t xml:space="preserve"> level of</w:t>
      </w:r>
      <w:r w:rsidR="00A058E3">
        <w:rPr>
          <w:rFonts w:ascii="Times New Roman" w:hAnsi="Times New Roman"/>
          <w:b w:val="0"/>
          <w:i w:val="0"/>
          <w:sz w:val="20"/>
        </w:rPr>
        <w:t xml:space="preserve"> Medium/Low Voltage (MV/LV) substations</w:t>
      </w:r>
      <w:r w:rsidRPr="00A87BB3">
        <w:rPr>
          <w:rFonts w:ascii="Times New Roman" w:hAnsi="Times New Roman"/>
          <w:b w:val="0"/>
          <w:i w:val="0"/>
          <w:sz w:val="20"/>
        </w:rPr>
        <w:t xml:space="preserve">, it is possible to obtain </w:t>
      </w:r>
      <w:r w:rsidR="00A058E3">
        <w:rPr>
          <w:rFonts w:ascii="Times New Roman" w:hAnsi="Times New Roman"/>
          <w:b w:val="0"/>
          <w:i w:val="0"/>
          <w:sz w:val="20"/>
        </w:rPr>
        <w:t>statis</w:t>
      </w:r>
      <w:r w:rsidR="00110E21">
        <w:rPr>
          <w:rFonts w:ascii="Times New Roman" w:hAnsi="Times New Roman"/>
          <w:b w:val="0"/>
          <w:i w:val="0"/>
          <w:sz w:val="20"/>
        </w:rPr>
        <w:t>ti</w:t>
      </w:r>
      <w:r w:rsidR="00A058E3">
        <w:rPr>
          <w:rFonts w:ascii="Times New Roman" w:hAnsi="Times New Roman"/>
          <w:b w:val="0"/>
          <w:i w:val="0"/>
          <w:sz w:val="20"/>
        </w:rPr>
        <w:t>cally</w:t>
      </w:r>
      <w:r w:rsidRPr="00A87BB3">
        <w:rPr>
          <w:rFonts w:ascii="Times New Roman" w:hAnsi="Times New Roman"/>
          <w:b w:val="0"/>
          <w:i w:val="0"/>
          <w:sz w:val="20"/>
        </w:rPr>
        <w:t xml:space="preserve"> significant estimate</w:t>
      </w:r>
      <w:r w:rsidR="00066BD6">
        <w:rPr>
          <w:rFonts w:ascii="Times New Roman" w:hAnsi="Times New Roman"/>
          <w:b w:val="0"/>
          <w:i w:val="0"/>
          <w:sz w:val="20"/>
        </w:rPr>
        <w:t>s</w:t>
      </w:r>
      <w:r w:rsidRPr="00A87BB3">
        <w:rPr>
          <w:rFonts w:ascii="Times New Roman" w:hAnsi="Times New Roman"/>
          <w:b w:val="0"/>
          <w:i w:val="0"/>
          <w:sz w:val="20"/>
        </w:rPr>
        <w:t xml:space="preserve"> of the amount of network equipment needed to meet local demand. </w:t>
      </w:r>
    </w:p>
    <w:p w:rsidR="00DC69F1" w:rsidRDefault="00A87BB3">
      <w:pPr>
        <w:pStyle w:val="Titre2"/>
        <w:jc w:val="both"/>
        <w:rPr>
          <w:rFonts w:ascii="Times New Roman" w:hAnsi="Times New Roman"/>
          <w:b w:val="0"/>
          <w:i w:val="0"/>
          <w:sz w:val="20"/>
        </w:rPr>
      </w:pPr>
      <w:r w:rsidRPr="00A87BB3">
        <w:rPr>
          <w:rFonts w:ascii="Times New Roman" w:hAnsi="Times New Roman"/>
          <w:b w:val="0"/>
          <w:i w:val="0"/>
          <w:sz w:val="20"/>
        </w:rPr>
        <w:t xml:space="preserve">Slightly more than 90% of the variance in </w:t>
      </w:r>
      <w:r w:rsidR="00A058E3">
        <w:rPr>
          <w:rFonts w:ascii="Times New Roman" w:hAnsi="Times New Roman"/>
          <w:b w:val="0"/>
          <w:i w:val="0"/>
          <w:sz w:val="20"/>
        </w:rPr>
        <w:t xml:space="preserve">MV </w:t>
      </w:r>
      <w:r w:rsidRPr="00A87BB3">
        <w:rPr>
          <w:rFonts w:ascii="Times New Roman" w:hAnsi="Times New Roman"/>
          <w:b w:val="0"/>
          <w:i w:val="0"/>
          <w:sz w:val="20"/>
        </w:rPr>
        <w:t>network costs</w:t>
      </w:r>
      <w:r w:rsidR="00A058E3">
        <w:rPr>
          <w:rFonts w:ascii="Times New Roman" w:hAnsi="Times New Roman"/>
          <w:b w:val="0"/>
          <w:i w:val="0"/>
          <w:sz w:val="20"/>
        </w:rPr>
        <w:t>, about 80% for LV,</w:t>
      </w:r>
      <w:r w:rsidRPr="00A87BB3">
        <w:rPr>
          <w:rFonts w:ascii="Times New Roman" w:hAnsi="Times New Roman"/>
          <w:b w:val="0"/>
          <w:i w:val="0"/>
          <w:sz w:val="20"/>
        </w:rPr>
        <w:t xml:space="preserve"> is explained by the model (cf. figure 1). In addition, interpretable and consistent coefficients are obtained to differentiate costs impacts by network provided services.</w:t>
      </w:r>
    </w:p>
    <w:p w:rsidR="00A87BB3" w:rsidRDefault="00A87BB3" w:rsidP="00A87BB3"/>
    <w:p w:rsidR="00A87BB3" w:rsidRPr="00D116ED" w:rsidRDefault="00A87BB3" w:rsidP="00A87BB3">
      <w:pPr>
        <w:keepNext/>
        <w:jc w:val="center"/>
      </w:pPr>
      <w:r w:rsidRPr="00A87BB3">
        <w:rPr>
          <w:rFonts w:cs="Arial"/>
          <w:noProof/>
          <w:lang w:val="fr-FR" w:eastAsia="fr-F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321.2pt;height:233.55pt;visibility:visible;mso-wrap-style:square">
            <v:imagedata r:id="rId7" o:title=""/>
          </v:shape>
        </w:pict>
      </w:r>
    </w:p>
    <w:p w:rsidR="00A87BB3" w:rsidRPr="00D116ED" w:rsidRDefault="00A87BB3" w:rsidP="00A87BB3">
      <w:pPr>
        <w:pStyle w:val="Lgende"/>
        <w:jc w:val="center"/>
        <w:rPr>
          <w:rFonts w:cs="Arial"/>
          <w:color w:val="auto"/>
          <w:sz w:val="20"/>
        </w:rPr>
      </w:pPr>
      <w:r w:rsidRPr="00D116ED">
        <w:rPr>
          <w:color w:val="auto"/>
        </w:rPr>
        <w:t xml:space="preserve">Figure </w:t>
      </w:r>
      <w:r w:rsidRPr="00D116ED">
        <w:rPr>
          <w:color w:val="auto"/>
        </w:rPr>
        <w:fldChar w:fldCharType="begin"/>
      </w:r>
      <w:r w:rsidRPr="00D116ED">
        <w:rPr>
          <w:color w:val="auto"/>
        </w:rPr>
        <w:instrText xml:space="preserve"> SEQ Figure \* ARABIC </w:instrText>
      </w:r>
      <w:r w:rsidRPr="00D116ED">
        <w:rPr>
          <w:color w:val="auto"/>
        </w:rPr>
        <w:fldChar w:fldCharType="separate"/>
      </w:r>
      <w:r w:rsidR="00EC18D3">
        <w:rPr>
          <w:noProof/>
          <w:color w:val="auto"/>
        </w:rPr>
        <w:t>1</w:t>
      </w:r>
      <w:r w:rsidRPr="00D116ED">
        <w:rPr>
          <w:color w:val="auto"/>
        </w:rPr>
        <w:fldChar w:fldCharType="end"/>
      </w:r>
      <w:r w:rsidRPr="00D116ED">
        <w:rPr>
          <w:color w:val="auto"/>
        </w:rPr>
        <w:t xml:space="preserve"> :</w:t>
      </w:r>
      <w:r>
        <w:rPr>
          <w:color w:val="auto"/>
        </w:rPr>
        <w:t xml:space="preserve"> Observed vs. adjusted data on </w:t>
      </w:r>
      <w:r w:rsidR="00A058E3">
        <w:rPr>
          <w:color w:val="auto"/>
        </w:rPr>
        <w:t xml:space="preserve">MV </w:t>
      </w:r>
      <w:r>
        <w:rPr>
          <w:color w:val="auto"/>
        </w:rPr>
        <w:t>network costs</w:t>
      </w:r>
    </w:p>
    <w:p w:rsidR="00F42FD1" w:rsidRPr="00A87BB3" w:rsidRDefault="00F42FD1" w:rsidP="00F42FD1">
      <w:pPr>
        <w:pStyle w:val="Titre2"/>
        <w:rPr>
          <w:rFonts w:ascii="Times New Roman" w:hAnsi="Times New Roman"/>
          <w:b w:val="0"/>
          <w:i w:val="0"/>
          <w:sz w:val="20"/>
        </w:rPr>
      </w:pPr>
      <w:r w:rsidRPr="00A87BB3">
        <w:rPr>
          <w:rFonts w:ascii="Times New Roman" w:hAnsi="Times New Roman"/>
          <w:b w:val="0"/>
          <w:i w:val="0"/>
          <w:sz w:val="20"/>
        </w:rPr>
        <w:t>Results highlight the key effect of customers’ density</w:t>
      </w:r>
      <w:r>
        <w:rPr>
          <w:rFonts w:ascii="Times New Roman" w:hAnsi="Times New Roman"/>
          <w:b w:val="0"/>
          <w:i w:val="0"/>
          <w:sz w:val="20"/>
        </w:rPr>
        <w:t xml:space="preserve"> by cluster</w:t>
      </w:r>
      <w:r w:rsidRPr="00A87BB3">
        <w:rPr>
          <w:rFonts w:ascii="Times New Roman" w:hAnsi="Times New Roman"/>
          <w:b w:val="0"/>
          <w:i w:val="0"/>
          <w:sz w:val="20"/>
        </w:rPr>
        <w:t xml:space="preserve"> on network costs; then only the role of consumption behaviours. In addition, the impact of the annual volume of electricity consumption is statistically differentiated and lower than that of the annual subscribed maximum power load.</w:t>
      </w:r>
    </w:p>
    <w:p w:rsidR="00A87BB3" w:rsidRPr="00A87BB3" w:rsidRDefault="00A87BB3" w:rsidP="00A87BB3"/>
    <w:p w:rsidR="00DC69F1" w:rsidRPr="00D767DA" w:rsidRDefault="00DC69F1">
      <w:pPr>
        <w:pStyle w:val="Titre2"/>
        <w:jc w:val="both"/>
        <w:rPr>
          <w:i w:val="0"/>
          <w:sz w:val="24"/>
          <w:szCs w:val="24"/>
        </w:rPr>
      </w:pPr>
      <w:r w:rsidRPr="00D767DA">
        <w:rPr>
          <w:i w:val="0"/>
          <w:sz w:val="24"/>
          <w:szCs w:val="24"/>
        </w:rPr>
        <w:t>Conclusions</w:t>
      </w:r>
    </w:p>
    <w:p w:rsidR="00F42FD1" w:rsidRDefault="00A87BB3">
      <w:pPr>
        <w:pStyle w:val="Titre2"/>
        <w:rPr>
          <w:rFonts w:ascii="Times New Roman" w:hAnsi="Times New Roman"/>
          <w:b w:val="0"/>
          <w:i w:val="0"/>
          <w:sz w:val="20"/>
        </w:rPr>
      </w:pPr>
      <w:r w:rsidRPr="00A87BB3">
        <w:rPr>
          <w:rFonts w:ascii="Times New Roman" w:hAnsi="Times New Roman"/>
          <w:b w:val="0"/>
          <w:i w:val="0"/>
          <w:sz w:val="20"/>
        </w:rPr>
        <w:t>In conclusion, the methodology developed in this study provides a relevant assessment of demand side drivers of distribution grid costs for pricing purpose.</w:t>
      </w:r>
      <w:r w:rsidR="00F42FD1">
        <w:rPr>
          <w:rFonts w:ascii="Times New Roman" w:hAnsi="Times New Roman"/>
          <w:b w:val="0"/>
          <w:i w:val="0"/>
          <w:sz w:val="20"/>
        </w:rPr>
        <w:t xml:space="preserve"> </w:t>
      </w:r>
      <w:r w:rsidRPr="00A87BB3">
        <w:rPr>
          <w:rFonts w:ascii="Times New Roman" w:hAnsi="Times New Roman"/>
          <w:b w:val="0"/>
          <w:i w:val="0"/>
          <w:sz w:val="20"/>
        </w:rPr>
        <w:t xml:space="preserve">Results on the cost function can be useful in defining a network pricing that provides an efficient economic signal </w:t>
      </w:r>
      <w:r w:rsidR="00AE27BA">
        <w:rPr>
          <w:rFonts w:ascii="Times New Roman" w:hAnsi="Times New Roman"/>
          <w:b w:val="0"/>
          <w:i w:val="0"/>
          <w:sz w:val="20"/>
        </w:rPr>
        <w:t>f</w:t>
      </w:r>
      <w:r w:rsidRPr="00A87BB3">
        <w:rPr>
          <w:rFonts w:ascii="Times New Roman" w:hAnsi="Times New Roman"/>
          <w:b w:val="0"/>
          <w:i w:val="0"/>
          <w:sz w:val="20"/>
        </w:rPr>
        <w:t xml:space="preserve">or each service provided by the grid. </w:t>
      </w:r>
    </w:p>
    <w:p w:rsidR="00DC69F1" w:rsidRDefault="00F42FD1" w:rsidP="00F42FD1">
      <w:pPr>
        <w:pStyle w:val="Titre2"/>
        <w:jc w:val="both"/>
        <w:rPr>
          <w:rFonts w:ascii="Times New Roman" w:hAnsi="Times New Roman"/>
          <w:b w:val="0"/>
          <w:i w:val="0"/>
          <w:sz w:val="20"/>
        </w:rPr>
      </w:pPr>
      <w:r>
        <w:rPr>
          <w:rFonts w:ascii="Times New Roman" w:hAnsi="Times New Roman"/>
          <w:b w:val="0"/>
          <w:i w:val="0"/>
          <w:sz w:val="20"/>
        </w:rPr>
        <w:t xml:space="preserve">In particular, these results may be useful in studying the </w:t>
      </w:r>
      <w:r w:rsidR="005D0CA9">
        <w:rPr>
          <w:rFonts w:ascii="Times New Roman" w:hAnsi="Times New Roman"/>
          <w:b w:val="0"/>
          <w:i w:val="0"/>
          <w:sz w:val="20"/>
        </w:rPr>
        <w:t xml:space="preserve">equity </w:t>
      </w:r>
      <w:r>
        <w:rPr>
          <w:rFonts w:ascii="Times New Roman" w:hAnsi="Times New Roman"/>
          <w:b w:val="0"/>
          <w:i w:val="0"/>
          <w:sz w:val="20"/>
        </w:rPr>
        <w:t xml:space="preserve">impact of new electricity uses on the electricity distribution network, as distributed energy resources, electric vehicles and batteries. </w:t>
      </w:r>
      <w:r w:rsidR="00A87BB3" w:rsidRPr="00A87BB3">
        <w:rPr>
          <w:rFonts w:ascii="Times New Roman" w:hAnsi="Times New Roman"/>
          <w:b w:val="0"/>
          <w:i w:val="0"/>
          <w:sz w:val="20"/>
        </w:rPr>
        <w:t>Further studies may then be added to</w:t>
      </w:r>
      <w:r w:rsidR="00FA3146">
        <w:rPr>
          <w:rFonts w:ascii="Times New Roman" w:hAnsi="Times New Roman"/>
          <w:b w:val="0"/>
          <w:i w:val="0"/>
          <w:sz w:val="20"/>
        </w:rPr>
        <w:t xml:space="preserve"> estimate time-of-use tariffs [4</w:t>
      </w:r>
      <w:r w:rsidR="00A87BB3" w:rsidRPr="00A87BB3">
        <w:rPr>
          <w:rFonts w:ascii="Times New Roman" w:hAnsi="Times New Roman"/>
          <w:b w:val="0"/>
          <w:i w:val="0"/>
          <w:sz w:val="20"/>
        </w:rPr>
        <w:t>].</w:t>
      </w:r>
    </w:p>
    <w:p w:rsidR="00A002DD" w:rsidRPr="00A002DD" w:rsidRDefault="00A002DD" w:rsidP="00A002DD"/>
    <w:p w:rsidR="00DC69F1" w:rsidRDefault="00DC69F1">
      <w:pPr>
        <w:pStyle w:val="Titre2"/>
        <w:rPr>
          <w:i w:val="0"/>
          <w:sz w:val="24"/>
          <w:szCs w:val="24"/>
        </w:rPr>
      </w:pPr>
      <w:r w:rsidRPr="00D767DA">
        <w:rPr>
          <w:i w:val="0"/>
          <w:sz w:val="24"/>
          <w:szCs w:val="24"/>
        </w:rPr>
        <w:t>References</w:t>
      </w:r>
      <w:bookmarkStart w:id="0" w:name="_GoBack"/>
      <w:bookmarkEnd w:id="0"/>
    </w:p>
    <w:p w:rsidR="00F77AA9" w:rsidRDefault="00F77AA9" w:rsidP="00F77AA9"/>
    <w:p w:rsidR="00F77AA9" w:rsidRPr="00D24AC3" w:rsidRDefault="00F77AA9" w:rsidP="00F77AA9">
      <w:pPr>
        <w:pStyle w:val="Corpsdetexte2"/>
        <w:spacing w:after="200"/>
      </w:pPr>
      <w:r>
        <w:t>[</w:t>
      </w:r>
      <w:r>
        <w:t>1</w:t>
      </w:r>
      <w:r>
        <w:t xml:space="preserve">] P. Simshauser, 2016, Distribution network prices and solar pv: Resolving rate instability and wealth transfers through demand tariffs, </w:t>
      </w:r>
      <w:r>
        <w:rPr>
          <w:i/>
        </w:rPr>
        <w:t>Energy Economics,</w:t>
      </w:r>
      <w:r>
        <w:t xml:space="preserve"> 54, 108-122.</w:t>
      </w:r>
    </w:p>
    <w:p w:rsidR="00F77AA9" w:rsidRDefault="00F77AA9" w:rsidP="00F77AA9">
      <w:pPr>
        <w:pStyle w:val="Corpsdetexte2"/>
        <w:spacing w:after="200"/>
      </w:pPr>
      <w:r>
        <w:t>[</w:t>
      </w:r>
      <w:r>
        <w:t>2</w:t>
      </w:r>
      <w:r>
        <w:t>] R. Passey &amp; al., 2017, Designing more cost reflective electric</w:t>
      </w:r>
      <w:r w:rsidR="00110E21">
        <w:t>ity network tariffs with demand</w:t>
      </w:r>
      <w:r>
        <w:t xml:space="preserve"> charges, </w:t>
      </w:r>
      <w:r>
        <w:rPr>
          <w:i/>
        </w:rPr>
        <w:t>Energy Policy</w:t>
      </w:r>
      <w:r>
        <w:t>, 109, 642-649.</w:t>
      </w:r>
    </w:p>
    <w:p w:rsidR="00F77AA9" w:rsidRPr="00F77AA9" w:rsidRDefault="00F77AA9" w:rsidP="00F77AA9">
      <w:pPr>
        <w:pStyle w:val="Corpsdetexte2"/>
        <w:spacing w:after="200"/>
      </w:pPr>
      <w:r>
        <w:t>[</w:t>
      </w:r>
      <w:r>
        <w:t>3</w:t>
      </w:r>
      <w:r w:rsidR="005F5E06">
        <w:t>] T. Schittekatte &amp; L</w:t>
      </w:r>
      <w:r>
        <w:t>.</w:t>
      </w:r>
      <w:r w:rsidR="005F5E06">
        <w:t xml:space="preserve"> Meeus</w:t>
      </w:r>
      <w:r>
        <w:t xml:space="preserve">, 2018, Least-cost distribution network tariff design in theory and practice, </w:t>
      </w:r>
      <w:r>
        <w:rPr>
          <w:i/>
        </w:rPr>
        <w:t xml:space="preserve">Robert Schuman Centre for Advanced Studies, </w:t>
      </w:r>
      <w:r>
        <w:t xml:space="preserve">Florence School of Regulation. </w:t>
      </w:r>
    </w:p>
    <w:p w:rsidR="00A87BB3" w:rsidRDefault="00F77AA9" w:rsidP="00A87BB3">
      <w:pPr>
        <w:pStyle w:val="Corpsdetexte2"/>
        <w:spacing w:after="200"/>
      </w:pPr>
      <w:r>
        <w:t>[4</w:t>
      </w:r>
      <w:r w:rsidR="00A87BB3">
        <w:t>] M. Bordigoni &amp; L. Gilotte, 2017, Costing Network Services for Consumers with PV Self-Generation, CIRED Conference, Glasgow, 0777.</w:t>
      </w:r>
    </w:p>
    <w:p w:rsidR="00A87BB3" w:rsidRDefault="00F77AA9" w:rsidP="00A87BB3">
      <w:pPr>
        <w:pStyle w:val="Corpsdetexte2"/>
        <w:spacing w:after="200"/>
      </w:pPr>
      <w:r>
        <w:t xml:space="preserve"> [5</w:t>
      </w:r>
      <w:r w:rsidR="00A87BB3">
        <w:t>] H. Crespo &amp; al., 2007, Efficiency Analysis on Electricity Distribution Companies: A Pragmatic and Meaningful Approach to Determine the True Cost Drivers of Utilities, CIRED Conference, Vienna, 0296.</w:t>
      </w:r>
    </w:p>
    <w:p w:rsidR="00DC69F1" w:rsidRPr="00633A73" w:rsidRDefault="00DC69F1" w:rsidP="00110E21">
      <w:pPr>
        <w:pStyle w:val="Corpsdetexte2"/>
        <w:spacing w:after="200"/>
        <w:rPr>
          <w:i/>
        </w:rPr>
      </w:pPr>
    </w:p>
    <w:sectPr w:rsidR="00DC69F1" w:rsidRPr="00633A73" w:rsidSect="00FC73E0">
      <w:headerReference w:type="first" r:id="rId8"/>
      <w:type w:val="continuous"/>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AB3" w:rsidRDefault="00DC6AB3">
      <w:r>
        <w:separator/>
      </w:r>
    </w:p>
  </w:endnote>
  <w:endnote w:type="continuationSeparator" w:id="0">
    <w:p w:rsidR="00DC6AB3" w:rsidRDefault="00DC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AB3" w:rsidRDefault="00DC6AB3">
      <w:r>
        <w:separator/>
      </w:r>
    </w:p>
  </w:footnote>
  <w:footnote w:type="continuationSeparator" w:id="0">
    <w:p w:rsidR="00DC6AB3" w:rsidRDefault="00DC6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112" w:rsidRDefault="005A5112" w:rsidP="00DC69F1">
    <w:pPr>
      <w:pStyle w:val="En-tte"/>
      <w:tabs>
        <w:tab w:val="clear" w:pos="5400"/>
        <w:tab w:val="center" w:pos="851"/>
      </w:tabs>
      <w:jc w:val="right"/>
    </w:pPr>
    <w:r>
      <w:rPr>
        <w:lang w:val="en-US"/>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01E0D"/>
    <w:multiLevelType w:val="singleLevel"/>
    <w:tmpl w:val="17E28CCC"/>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0A41059"/>
    <w:multiLevelType w:val="singleLevel"/>
    <w:tmpl w:val="B4D86B60"/>
    <w:lvl w:ilvl="0">
      <w:start w:val="1"/>
      <w:numFmt w:val="decimal"/>
      <w:lvlText w:val="%1."/>
      <w:lvlJc w:val="left"/>
      <w:pPr>
        <w:tabs>
          <w:tab w:val="num" w:pos="723"/>
        </w:tabs>
        <w:ind w:left="723" w:hanging="435"/>
      </w:pPr>
      <w:rPr>
        <w:rFonts w:hint="default"/>
      </w:rPr>
    </w:lvl>
  </w:abstractNum>
  <w:abstractNum w:abstractNumId="2" w15:restartNumberingAfterBreak="0">
    <w:nsid w:val="10E67A70"/>
    <w:multiLevelType w:val="singleLevel"/>
    <w:tmpl w:val="DEDEAE42"/>
    <w:lvl w:ilvl="0">
      <w:start w:val="1"/>
      <w:numFmt w:val="decimal"/>
      <w:lvlText w:val="%1"/>
      <w:lvlJc w:val="left"/>
      <w:pPr>
        <w:tabs>
          <w:tab w:val="num" w:pos="720"/>
        </w:tabs>
        <w:ind w:left="720" w:hanging="720"/>
      </w:pPr>
      <w:rPr>
        <w:rFonts w:hint="default"/>
      </w:rPr>
    </w:lvl>
  </w:abstractNum>
  <w:abstractNum w:abstractNumId="3" w15:restartNumberingAfterBreak="0">
    <w:nsid w:val="12D63ED5"/>
    <w:multiLevelType w:val="hybridMultilevel"/>
    <w:tmpl w:val="6B46CE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F0437"/>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abstractNum w:abstractNumId="5" w15:restartNumberingAfterBreak="0">
    <w:nsid w:val="24DC3391"/>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6204CC"/>
    <w:multiLevelType w:val="hybridMultilevel"/>
    <w:tmpl w:val="5B88F87E"/>
    <w:lvl w:ilvl="0">
      <w:start w:val="1"/>
      <w:numFmt w:val="lowerRoman"/>
      <w:lvlText w:val="%1.)"/>
      <w:lvlJc w:val="left"/>
      <w:pPr>
        <w:tabs>
          <w:tab w:val="num" w:pos="540"/>
        </w:tabs>
        <w:ind w:left="255" w:hanging="435"/>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 w15:restartNumberingAfterBreak="0">
    <w:nsid w:val="2EAA7558"/>
    <w:multiLevelType w:val="hybridMultilevel"/>
    <w:tmpl w:val="EE18B3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81A2E"/>
    <w:multiLevelType w:val="hybridMultilevel"/>
    <w:tmpl w:val="60367C9A"/>
    <w:lvl w:ilvl="0">
      <w:start w:val="1"/>
      <w:numFmt w:val="lowerRoman"/>
      <w:lvlText w:val="%1.)"/>
      <w:lvlJc w:val="left"/>
      <w:pPr>
        <w:tabs>
          <w:tab w:val="num" w:pos="720"/>
        </w:tabs>
        <w:ind w:left="435" w:hanging="435"/>
      </w:pPr>
      <w:rPr>
        <w:rFonts w:hint="default"/>
      </w:rPr>
    </w:lvl>
    <w:lvl w:ilvl="1">
      <w:start w:val="8"/>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3A2C5EE1"/>
    <w:multiLevelType w:val="hybridMultilevel"/>
    <w:tmpl w:val="323EEB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E1A25F6"/>
    <w:multiLevelType w:val="hybridMultilevel"/>
    <w:tmpl w:val="E99808A0"/>
    <w:lvl w:ilvl="0">
      <w:start w:val="1"/>
      <w:numFmt w:val="lowerRoman"/>
      <w:lvlText w:val="%1.)"/>
      <w:lvlJc w:val="left"/>
      <w:pPr>
        <w:tabs>
          <w:tab w:val="num" w:pos="720"/>
        </w:tabs>
        <w:ind w:left="43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F207471"/>
    <w:multiLevelType w:val="hybridMultilevel"/>
    <w:tmpl w:val="D2EC5A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84757"/>
    <w:multiLevelType w:val="hybridMultilevel"/>
    <w:tmpl w:val="2536FB9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EC7B76"/>
    <w:multiLevelType w:val="hybridMultilevel"/>
    <w:tmpl w:val="3C0E520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719490F"/>
    <w:multiLevelType w:val="hybridMultilevel"/>
    <w:tmpl w:val="1E7829D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6F4106"/>
    <w:multiLevelType w:val="hybridMultilevel"/>
    <w:tmpl w:val="AA2E19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564C8"/>
    <w:multiLevelType w:val="singleLevel"/>
    <w:tmpl w:val="58169C78"/>
    <w:lvl w:ilvl="0">
      <w:start w:val="1"/>
      <w:numFmt w:val="decimal"/>
      <w:lvlText w:val="%1."/>
      <w:legacy w:legacy="1" w:legacySpace="0" w:legacyIndent="360"/>
      <w:lvlJc w:val="left"/>
      <w:pPr>
        <w:ind w:left="720" w:hanging="360"/>
      </w:pPr>
    </w:lvl>
  </w:abstractNum>
  <w:abstractNum w:abstractNumId="17" w15:restartNumberingAfterBreak="0">
    <w:nsid w:val="5A5B25FE"/>
    <w:multiLevelType w:val="hybridMultilevel"/>
    <w:tmpl w:val="65F2882E"/>
    <w:lvl w:ilvl="0">
      <w:start w:val="1"/>
      <w:numFmt w:val="lowerRoman"/>
      <w:lvlText w:val="%1.)"/>
      <w:lvlJc w:val="left"/>
      <w:pPr>
        <w:tabs>
          <w:tab w:val="num" w:pos="540"/>
        </w:tabs>
        <w:ind w:left="255" w:hanging="435"/>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8" w15:restartNumberingAfterBreak="0">
    <w:nsid w:val="60E750A6"/>
    <w:multiLevelType w:val="hybridMultilevel"/>
    <w:tmpl w:val="F6BAC8BE"/>
    <w:lvl w:ilvl="0">
      <w:start w:val="1"/>
      <w:numFmt w:val="decimal"/>
      <w:lvlText w:val="%1."/>
      <w:lvlJc w:val="left"/>
      <w:pPr>
        <w:tabs>
          <w:tab w:val="num" w:pos="180"/>
        </w:tabs>
        <w:ind w:left="18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9" w15:restartNumberingAfterBreak="0">
    <w:nsid w:val="63A74126"/>
    <w:multiLevelType w:val="hybridMultilevel"/>
    <w:tmpl w:val="2CB469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71495"/>
    <w:multiLevelType w:val="singleLevel"/>
    <w:tmpl w:val="94A032AE"/>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6B84080A"/>
    <w:multiLevelType w:val="hybridMultilevel"/>
    <w:tmpl w:val="5436F5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BB7FAC"/>
    <w:multiLevelType w:val="hybridMultilevel"/>
    <w:tmpl w:val="945E665A"/>
    <w:lvl w:ilvl="0">
      <w:start w:val="1"/>
      <w:numFmt w:val="decimal"/>
      <w:pStyle w:val="References"/>
      <w:lvlText w:val="%1."/>
      <w:lvlJc w:val="left"/>
      <w:pPr>
        <w:tabs>
          <w:tab w:val="num" w:pos="360"/>
        </w:tabs>
        <w:ind w:left="36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3" w15:restartNumberingAfterBreak="0">
    <w:nsid w:val="7579615C"/>
    <w:multiLevelType w:val="hybridMultilevel"/>
    <w:tmpl w:val="B62C60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F2315F"/>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num w:numId="1">
    <w:abstractNumId w:val="1"/>
  </w:num>
  <w:num w:numId="2">
    <w:abstractNumId w:val="20"/>
  </w:num>
  <w:num w:numId="3">
    <w:abstractNumId w:val="16"/>
  </w:num>
  <w:num w:numId="4">
    <w:abstractNumId w:val="2"/>
  </w:num>
  <w:num w:numId="5">
    <w:abstractNumId w:val="0"/>
  </w:num>
  <w:num w:numId="6">
    <w:abstractNumId w:val="24"/>
  </w:num>
  <w:num w:numId="7">
    <w:abstractNumId w:val="4"/>
  </w:num>
  <w:num w:numId="8">
    <w:abstractNumId w:val="13"/>
  </w:num>
  <w:num w:numId="9">
    <w:abstractNumId w:val="12"/>
  </w:num>
  <w:num w:numId="10">
    <w:abstractNumId w:val="21"/>
  </w:num>
  <w:num w:numId="11">
    <w:abstractNumId w:val="14"/>
  </w:num>
  <w:num w:numId="12">
    <w:abstractNumId w:val="7"/>
  </w:num>
  <w:num w:numId="13">
    <w:abstractNumId w:val="11"/>
  </w:num>
  <w:num w:numId="14">
    <w:abstractNumId w:val="19"/>
  </w:num>
  <w:num w:numId="15">
    <w:abstractNumId w:val="23"/>
  </w:num>
  <w:num w:numId="16">
    <w:abstractNumId w:val="8"/>
  </w:num>
  <w:num w:numId="17">
    <w:abstractNumId w:val="9"/>
  </w:num>
  <w:num w:numId="18">
    <w:abstractNumId w:val="3"/>
  </w:num>
  <w:num w:numId="19">
    <w:abstractNumId w:val="15"/>
  </w:num>
  <w:num w:numId="20">
    <w:abstractNumId w:val="10"/>
  </w:num>
  <w:num w:numId="21">
    <w:abstractNumId w:val="6"/>
  </w:num>
  <w:num w:numId="22">
    <w:abstractNumId w:val="17"/>
  </w:num>
  <w:num w:numId="23">
    <w:abstractNumId w:val="18"/>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3DE"/>
    <w:rsid w:val="000653B6"/>
    <w:rsid w:val="00066BD6"/>
    <w:rsid w:val="000F1DB4"/>
    <w:rsid w:val="00110E21"/>
    <w:rsid w:val="00130E42"/>
    <w:rsid w:val="0018264E"/>
    <w:rsid w:val="001C5F0D"/>
    <w:rsid w:val="002549C8"/>
    <w:rsid w:val="003205E5"/>
    <w:rsid w:val="00385908"/>
    <w:rsid w:val="003A2839"/>
    <w:rsid w:val="004A675F"/>
    <w:rsid w:val="004C048E"/>
    <w:rsid w:val="005558D0"/>
    <w:rsid w:val="005A5112"/>
    <w:rsid w:val="005D0CA9"/>
    <w:rsid w:val="005D7C49"/>
    <w:rsid w:val="005F5E06"/>
    <w:rsid w:val="00633A73"/>
    <w:rsid w:val="00655121"/>
    <w:rsid w:val="007155B6"/>
    <w:rsid w:val="00717658"/>
    <w:rsid w:val="00740A76"/>
    <w:rsid w:val="0074653D"/>
    <w:rsid w:val="008B71F5"/>
    <w:rsid w:val="008C4F79"/>
    <w:rsid w:val="00916740"/>
    <w:rsid w:val="009B581D"/>
    <w:rsid w:val="00A002DD"/>
    <w:rsid w:val="00A058E3"/>
    <w:rsid w:val="00A10F23"/>
    <w:rsid w:val="00A25183"/>
    <w:rsid w:val="00A87BB3"/>
    <w:rsid w:val="00A96D21"/>
    <w:rsid w:val="00AE27BA"/>
    <w:rsid w:val="00B02B7D"/>
    <w:rsid w:val="00B476C6"/>
    <w:rsid w:val="00B73A00"/>
    <w:rsid w:val="00CA0507"/>
    <w:rsid w:val="00D24AC3"/>
    <w:rsid w:val="00D351D8"/>
    <w:rsid w:val="00DB0029"/>
    <w:rsid w:val="00DB77B3"/>
    <w:rsid w:val="00DC69F1"/>
    <w:rsid w:val="00DC6AB3"/>
    <w:rsid w:val="00E046B2"/>
    <w:rsid w:val="00E44509"/>
    <w:rsid w:val="00E9636B"/>
    <w:rsid w:val="00EC18D3"/>
    <w:rsid w:val="00EE5954"/>
    <w:rsid w:val="00F16635"/>
    <w:rsid w:val="00F344CF"/>
    <w:rsid w:val="00F42FD1"/>
    <w:rsid w:val="00F77AA9"/>
    <w:rsid w:val="00FA3146"/>
    <w:rsid w:val="00FC73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14C3CC-FC7E-410B-AB91-03B5AA6F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val="en-GB" w:eastAsia="en-US"/>
    </w:rPr>
  </w:style>
  <w:style w:type="paragraph" w:styleId="Titre1">
    <w:name w:val="heading 1"/>
    <w:basedOn w:val="Normal"/>
    <w:next w:val="Normal"/>
    <w:qFormat/>
    <w:pPr>
      <w:keepNext/>
      <w:spacing w:before="240" w:after="60"/>
      <w:outlineLvl w:val="0"/>
    </w:pPr>
    <w:rPr>
      <w:rFonts w:ascii="Arial" w:hAnsi="Arial"/>
      <w:b/>
      <w:sz w:val="28"/>
    </w:rPr>
  </w:style>
  <w:style w:type="paragraph" w:styleId="Titre2">
    <w:name w:val="heading 2"/>
    <w:basedOn w:val="Normal"/>
    <w:next w:val="Normal"/>
    <w:qFormat/>
    <w:pPr>
      <w:keepNext/>
      <w:spacing w:before="240" w:after="60"/>
      <w:outlineLvl w:val="1"/>
    </w:pPr>
    <w:rPr>
      <w:rFonts w:ascii="Arial" w:hAnsi="Arial"/>
      <w:b/>
      <w:i/>
      <w:sz w:val="22"/>
    </w:rPr>
  </w:style>
  <w:style w:type="paragraph" w:styleId="Titre3">
    <w:name w:val="heading 3"/>
    <w:basedOn w:val="Normal"/>
    <w:next w:val="Normal"/>
    <w:qFormat/>
    <w:pPr>
      <w:keepNext/>
      <w:spacing w:before="240" w:after="60"/>
      <w:outlineLvl w:val="2"/>
    </w:pPr>
    <w:rPr>
      <w:rFonts w:ascii="Arial" w:hAnsi="Arial"/>
      <w:b/>
      <w:bCs/>
    </w:rPr>
  </w:style>
  <w:style w:type="paragraph" w:styleId="Titre4">
    <w:name w:val="heading 4"/>
    <w:basedOn w:val="Normal"/>
    <w:next w:val="Normal"/>
    <w:qFormat/>
    <w:pPr>
      <w:keepNext/>
      <w:outlineLvl w:val="3"/>
    </w:pPr>
    <w:rPr>
      <w:rFonts w:ascii="Arial" w:hAnsi="Arial"/>
      <w:snapToGrid w:val="0"/>
      <w:color w:val="000000"/>
      <w:sz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pPr>
      <w:tabs>
        <w:tab w:val="center" w:pos="4320"/>
        <w:tab w:val="right" w:pos="8640"/>
      </w:tabs>
    </w:pPr>
  </w:style>
  <w:style w:type="paragraph" w:styleId="En-tte">
    <w:name w:val="header"/>
    <w:basedOn w:val="Normal"/>
    <w:pPr>
      <w:tabs>
        <w:tab w:val="center" w:pos="5400"/>
        <w:tab w:val="right" w:pos="10800"/>
      </w:tabs>
    </w:pPr>
    <w:rPr>
      <w:rFonts w:ascii="Arial" w:hAnsi="Arial"/>
      <w:sz w:val="16"/>
    </w:rPr>
  </w:style>
  <w:style w:type="paragraph" w:styleId="Titre">
    <w:name w:val="Title"/>
    <w:basedOn w:val="Number"/>
    <w:next w:val="Author"/>
    <w:qFormat/>
    <w:pPr>
      <w:spacing w:before="0" w:after="0"/>
    </w:pPr>
    <w:rPr>
      <w:b/>
      <w:bCs/>
      <w:sz w:val="22"/>
    </w:rPr>
  </w:style>
  <w:style w:type="paragraph" w:customStyle="1" w:styleId="Number">
    <w:name w:val="Number"/>
    <w:basedOn w:val="Normal"/>
    <w:next w:val="Titre"/>
    <w:pPr>
      <w:spacing w:before="120" w:after="360"/>
    </w:pPr>
    <w:rPr>
      <w:rFonts w:ascii="Arial" w:hAnsi="Arial"/>
      <w:sz w:val="28"/>
    </w:rPr>
  </w:style>
  <w:style w:type="paragraph" w:customStyle="1" w:styleId="Author">
    <w:name w:val="Author"/>
    <w:basedOn w:val="Normal"/>
    <w:next w:val="copyright"/>
    <w:pPr>
      <w:spacing w:after="480"/>
    </w:pPr>
    <w:rPr>
      <w:rFonts w:ascii="Arial" w:hAnsi="Arial"/>
    </w:rPr>
  </w:style>
  <w:style w:type="paragraph" w:customStyle="1" w:styleId="copyright">
    <w:name w:val="copyright"/>
    <w:basedOn w:val="Author"/>
    <w:pPr>
      <w:spacing w:after="0" w:line="140" w:lineRule="exact"/>
      <w:jc w:val="both"/>
    </w:pPr>
    <w:rPr>
      <w:sz w:val="12"/>
    </w:rPr>
  </w:style>
  <w:style w:type="paragraph" w:styleId="Corpsdetexte">
    <w:name w:val="Body Text"/>
    <w:basedOn w:val="Normal"/>
    <w:rPr>
      <w:sz w:val="22"/>
    </w:rPr>
  </w:style>
  <w:style w:type="paragraph" w:styleId="Corpsdetexte2">
    <w:name w:val="Body Text 2"/>
    <w:basedOn w:val="Normal"/>
    <w:pPr>
      <w:jc w:val="both"/>
    </w:pPr>
  </w:style>
  <w:style w:type="paragraph" w:styleId="Normalcentr">
    <w:name w:val="Block Text"/>
    <w:basedOn w:val="Normal"/>
    <w:pPr>
      <w:ind w:left="144" w:right="-86" w:hanging="144"/>
      <w:jc w:val="both"/>
    </w:pPr>
  </w:style>
  <w:style w:type="paragraph" w:customStyle="1" w:styleId="rule">
    <w:name w:val="rule"/>
    <w:basedOn w:val="Normal"/>
    <w:next w:val="copyright"/>
  </w:style>
  <w:style w:type="paragraph" w:customStyle="1" w:styleId="Head4">
    <w:name w:val="Head4"/>
    <w:basedOn w:val="Head3"/>
    <w:next w:val="para1"/>
    <w:rPr>
      <w:b w:val="0"/>
    </w:rPr>
  </w:style>
  <w:style w:type="paragraph" w:customStyle="1" w:styleId="Head3">
    <w:name w:val="Head3"/>
    <w:basedOn w:val="para"/>
    <w:next w:val="para1"/>
    <w:pPr>
      <w:ind w:firstLine="288"/>
    </w:pPr>
    <w:rPr>
      <w:b/>
      <w:i/>
    </w:rPr>
  </w:style>
  <w:style w:type="paragraph" w:customStyle="1" w:styleId="para">
    <w:name w:val="para"/>
    <w:basedOn w:val="Normal"/>
    <w:next w:val="para1"/>
    <w:pPr>
      <w:jc w:val="both"/>
    </w:pPr>
  </w:style>
  <w:style w:type="paragraph" w:customStyle="1" w:styleId="para1">
    <w:name w:val="para1"/>
    <w:basedOn w:val="para"/>
    <w:pPr>
      <w:spacing w:before="120"/>
      <w:ind w:firstLine="288"/>
    </w:pPr>
  </w:style>
  <w:style w:type="paragraph" w:styleId="Corpsdetexte3">
    <w:name w:val="Body Text 3"/>
    <w:basedOn w:val="Normal"/>
    <w:pPr>
      <w:ind w:right="-90"/>
      <w:jc w:val="both"/>
    </w:pPr>
    <w:rPr>
      <w:sz w:val="24"/>
    </w:rPr>
  </w:style>
  <w:style w:type="paragraph" w:customStyle="1" w:styleId="Head2">
    <w:name w:val="Head2"/>
    <w:basedOn w:val="Head1"/>
    <w:next w:val="para1"/>
    <w:pPr>
      <w:keepNext w:val="0"/>
      <w:jc w:val="both"/>
    </w:pPr>
    <w:rPr>
      <w:rFonts w:ascii="Times New Roman" w:hAnsi="Times New Roman"/>
    </w:rPr>
  </w:style>
  <w:style w:type="paragraph" w:customStyle="1" w:styleId="Head1">
    <w:name w:val="Head1"/>
    <w:basedOn w:val="Normal"/>
    <w:next w:val="para"/>
    <w:pPr>
      <w:keepNext/>
    </w:pPr>
    <w:rPr>
      <w:rFonts w:ascii="Arial" w:hAnsi="Arial"/>
      <w:b/>
    </w:rPr>
  </w:style>
  <w:style w:type="paragraph" w:customStyle="1" w:styleId="References">
    <w:name w:val="References"/>
    <w:basedOn w:val="para"/>
    <w:pPr>
      <w:numPr>
        <w:numId w:val="24"/>
      </w:numPr>
      <w:tabs>
        <w:tab w:val="right" w:pos="360"/>
      </w:tabs>
    </w:pPr>
  </w:style>
  <w:style w:type="paragraph" w:styleId="Corpsdetexte20">
    <w:name w:val="Body Text 2"/>
    <w:basedOn w:val="Normal"/>
    <w:pPr>
      <w:ind w:firstLine="360"/>
      <w:jc w:val="both"/>
    </w:pPr>
  </w:style>
  <w:style w:type="paragraph" w:styleId="Retraitcorpsdetexte">
    <w:name w:val="Body Text Indent"/>
    <w:basedOn w:val="Normal"/>
    <w:pPr>
      <w:ind w:left="1080" w:hanging="1080"/>
      <w:jc w:val="both"/>
    </w:pPr>
    <w:rPr>
      <w:rFonts w:ascii="Arial" w:hAnsi="Arial"/>
      <w:sz w:val="22"/>
      <w:lang w:val="en-US"/>
    </w:rPr>
  </w:style>
  <w:style w:type="paragraph" w:styleId="Retraitcorpsdetexte2">
    <w:name w:val="Body Text Indent 2"/>
    <w:basedOn w:val="Normal"/>
    <w:pPr>
      <w:ind w:left="360" w:hanging="720"/>
    </w:pPr>
  </w:style>
  <w:style w:type="character" w:styleId="Lienhypertexte">
    <w:name w:val="Hyperlink"/>
    <w:rPr>
      <w:color w:val="0000FF"/>
      <w:u w:val="single"/>
    </w:rPr>
  </w:style>
  <w:style w:type="paragraph" w:styleId="Lgende">
    <w:name w:val="caption"/>
    <w:basedOn w:val="Normal"/>
    <w:next w:val="Normal"/>
    <w:unhideWhenUsed/>
    <w:qFormat/>
    <w:rsid w:val="00A87BB3"/>
    <w:pPr>
      <w:spacing w:after="200"/>
    </w:pPr>
    <w:rPr>
      <w:rFonts w:ascii="Arial" w:hAnsi="Arial"/>
      <w:i/>
      <w:iCs/>
      <w:color w:val="1F497D"/>
      <w:sz w:val="18"/>
      <w:szCs w:val="18"/>
      <w:lang w:eastAsia="fr-FR"/>
    </w:rPr>
  </w:style>
  <w:style w:type="paragraph" w:styleId="Textedebulles">
    <w:name w:val="Balloon Text"/>
    <w:basedOn w:val="Normal"/>
    <w:link w:val="TextedebullesCar"/>
    <w:rsid w:val="00EC18D3"/>
    <w:rPr>
      <w:rFonts w:ascii="Segoe UI" w:hAnsi="Segoe UI" w:cs="Segoe UI"/>
      <w:sz w:val="18"/>
      <w:szCs w:val="18"/>
    </w:rPr>
  </w:style>
  <w:style w:type="character" w:customStyle="1" w:styleId="TextedebullesCar">
    <w:name w:val="Texte de bulles Car"/>
    <w:link w:val="Textedebulles"/>
    <w:rsid w:val="00EC18D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4258</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University of Groningen</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WS1</dc:creator>
  <cp:keywords/>
  <cp:lastModifiedBy>BORDIGONI Mathieu</cp:lastModifiedBy>
  <cp:revision>2</cp:revision>
  <cp:lastPrinted>2018-12-17T14:38:00Z</cp:lastPrinted>
  <dcterms:created xsi:type="dcterms:W3CDTF">2018-12-17T15:57:00Z</dcterms:created>
  <dcterms:modified xsi:type="dcterms:W3CDTF">2018-12-17T15:57:00Z</dcterms:modified>
</cp:coreProperties>
</file>