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4C39" w14:textId="3D0AE14A" w:rsidR="00863DAC" w:rsidRPr="00DD0523" w:rsidRDefault="00ED45DB" w:rsidP="009C7C3C">
      <w:pPr>
        <w:spacing w:after="0" w:line="240" w:lineRule="auto"/>
        <w:jc w:val="right"/>
        <w:rPr>
          <w:rFonts w:ascii="Times New Roman" w:hAnsi="Times New Roman" w:cs="Times New Roman"/>
          <w:b/>
          <w:i/>
          <w:sz w:val="24"/>
          <w:szCs w:val="24"/>
        </w:rPr>
      </w:pPr>
      <w:r w:rsidRPr="00DD0523">
        <w:rPr>
          <w:rFonts w:ascii="Times New Roman" w:hAnsi="Times New Roman" w:cs="Times New Roman"/>
          <w:b/>
          <w:i/>
          <w:sz w:val="24"/>
          <w:szCs w:val="24"/>
        </w:rPr>
        <w:t xml:space="preserve">Energy Sector Impacts of Meeting China’s </w:t>
      </w:r>
      <w:r w:rsidR="00E525CA" w:rsidRPr="00DD0523">
        <w:rPr>
          <w:rFonts w:ascii="Times New Roman" w:hAnsi="Times New Roman" w:cs="Times New Roman"/>
          <w:b/>
          <w:i/>
          <w:sz w:val="24"/>
          <w:szCs w:val="24"/>
        </w:rPr>
        <w:t xml:space="preserve">Pledges under the </w:t>
      </w:r>
      <w:r w:rsidRPr="00DD0523">
        <w:rPr>
          <w:rFonts w:ascii="Times New Roman" w:hAnsi="Times New Roman" w:cs="Times New Roman"/>
          <w:b/>
          <w:i/>
          <w:sz w:val="24"/>
          <w:szCs w:val="24"/>
        </w:rPr>
        <w:t>Paris Agreement</w:t>
      </w:r>
    </w:p>
    <w:p w14:paraId="10E28172" w14:textId="77777777" w:rsidR="00863DAC" w:rsidRDefault="00863DAC" w:rsidP="009C7C3C">
      <w:pPr>
        <w:spacing w:after="0" w:line="240" w:lineRule="auto"/>
        <w:jc w:val="right"/>
        <w:rPr>
          <w:rFonts w:ascii="Times New Roman" w:hAnsi="Times New Roman" w:cs="Times New Roman"/>
          <w:b/>
          <w:i/>
          <w:sz w:val="28"/>
          <w:szCs w:val="28"/>
        </w:rPr>
      </w:pPr>
    </w:p>
    <w:p w14:paraId="017559CF" w14:textId="15C899A5" w:rsidR="009C7C3C" w:rsidRDefault="003C0C40" w:rsidP="009C7C3C">
      <w:pPr>
        <w:spacing w:after="0" w:line="240" w:lineRule="auto"/>
        <w:jc w:val="right"/>
        <w:rPr>
          <w:rFonts w:ascii="Times New Roman" w:hAnsi="Times New Roman" w:cs="Times New Roman"/>
          <w:sz w:val="20"/>
          <w:szCs w:val="20"/>
        </w:rPr>
      </w:pPr>
      <w:r w:rsidRPr="009C7C3C">
        <w:rPr>
          <w:rFonts w:ascii="Times New Roman" w:hAnsi="Times New Roman" w:cs="Times New Roman"/>
          <w:sz w:val="20"/>
          <w:szCs w:val="20"/>
        </w:rPr>
        <w:t>Govinda R. Timilsina</w:t>
      </w:r>
      <w:r w:rsidR="009C7C3C" w:rsidRPr="009C7C3C">
        <w:rPr>
          <w:rFonts w:ascii="Times New Roman" w:hAnsi="Times New Roman" w:cs="Times New Roman"/>
          <w:sz w:val="20"/>
          <w:szCs w:val="20"/>
        </w:rPr>
        <w:t>, Senior Economist, World Bank, Washington, DC (</w:t>
      </w:r>
      <w:hyperlink r:id="rId9" w:history="1">
        <w:r w:rsidR="00ED45DB" w:rsidRPr="00F34F40">
          <w:rPr>
            <w:rStyle w:val="Hyperlink"/>
            <w:rFonts w:ascii="Times New Roman" w:hAnsi="Times New Roman" w:cs="Times New Roman"/>
            <w:sz w:val="20"/>
            <w:szCs w:val="20"/>
          </w:rPr>
          <w:t>gtimilsina@worldbank.org</w:t>
        </w:r>
      </w:hyperlink>
      <w:r w:rsidR="009C7C3C" w:rsidRPr="009C7C3C">
        <w:rPr>
          <w:rFonts w:ascii="Times New Roman" w:hAnsi="Times New Roman" w:cs="Times New Roman"/>
          <w:sz w:val="20"/>
          <w:szCs w:val="20"/>
        </w:rPr>
        <w:t>)</w:t>
      </w:r>
    </w:p>
    <w:p w14:paraId="4BFCC3E8" w14:textId="40C8AC17" w:rsidR="00ED45DB" w:rsidRPr="009C7C3C" w:rsidRDefault="00ED45DB" w:rsidP="009C7C3C">
      <w:pPr>
        <w:spacing w:after="0" w:line="240" w:lineRule="auto"/>
        <w:jc w:val="right"/>
        <w:rPr>
          <w:rFonts w:ascii="Times New Roman" w:hAnsi="Times New Roman" w:cs="Times New Roman"/>
          <w:sz w:val="20"/>
          <w:szCs w:val="20"/>
        </w:rPr>
      </w:pPr>
      <w:r w:rsidRPr="00ED45DB">
        <w:rPr>
          <w:rFonts w:ascii="Times New Roman" w:hAnsi="Times New Roman" w:cs="Times New Roman"/>
          <w:sz w:val="20"/>
          <w:szCs w:val="20"/>
        </w:rPr>
        <w:t>Xi Yang</w:t>
      </w:r>
      <w:r>
        <w:rPr>
          <w:rFonts w:ascii="Times New Roman" w:hAnsi="Times New Roman" w:cs="Times New Roman"/>
          <w:sz w:val="20"/>
          <w:szCs w:val="20"/>
        </w:rPr>
        <w:t>, Ass</w:t>
      </w:r>
      <w:r w:rsidR="00C135DE">
        <w:rPr>
          <w:rFonts w:ascii="Times New Roman" w:hAnsi="Times New Roman" w:cs="Times New Roman" w:hint="eastAsia"/>
          <w:sz w:val="20"/>
          <w:szCs w:val="20"/>
          <w:lang w:eastAsia="zh-CN"/>
        </w:rPr>
        <w:t>ociate</w:t>
      </w:r>
      <w:r>
        <w:rPr>
          <w:rFonts w:ascii="Times New Roman" w:hAnsi="Times New Roman" w:cs="Times New Roman"/>
          <w:sz w:val="20"/>
          <w:szCs w:val="20"/>
        </w:rPr>
        <w:t xml:space="preserve"> Professor, </w:t>
      </w:r>
      <w:r w:rsidR="005C4A4A" w:rsidRPr="005C4A4A">
        <w:rPr>
          <w:rFonts w:ascii="Times New Roman" w:hAnsi="Times New Roman" w:cs="Times New Roman"/>
          <w:sz w:val="20"/>
          <w:szCs w:val="20"/>
        </w:rPr>
        <w:t>China University of Petroleum</w:t>
      </w:r>
      <w:r w:rsidR="005C4A4A">
        <w:rPr>
          <w:rFonts w:ascii="Times New Roman" w:hAnsi="Times New Roman" w:cs="Times New Roman"/>
          <w:sz w:val="20"/>
          <w:szCs w:val="20"/>
        </w:rPr>
        <w:t>,</w:t>
      </w:r>
      <w:r w:rsidR="005C4A4A" w:rsidRPr="005C4A4A">
        <w:rPr>
          <w:rFonts w:ascii="Times New Roman" w:hAnsi="Times New Roman" w:cs="Times New Roman"/>
          <w:sz w:val="20"/>
          <w:szCs w:val="20"/>
        </w:rPr>
        <w:t xml:space="preserve"> Beijing </w:t>
      </w:r>
      <w:r>
        <w:rPr>
          <w:rFonts w:ascii="Times New Roman" w:hAnsi="Times New Roman" w:cs="Times New Roman"/>
          <w:sz w:val="20"/>
          <w:szCs w:val="20"/>
        </w:rPr>
        <w:t>(</w:t>
      </w:r>
      <w:r w:rsidRPr="00ED45DB">
        <w:rPr>
          <w:rFonts w:ascii="Times New Roman" w:hAnsi="Times New Roman" w:cs="Times New Roman"/>
          <w:sz w:val="20"/>
          <w:szCs w:val="20"/>
        </w:rPr>
        <w:t>sissiyang_tsinghua@foxmail.com</w:t>
      </w:r>
      <w:r>
        <w:rPr>
          <w:rFonts w:ascii="Times New Roman" w:hAnsi="Times New Roman" w:cs="Times New Roman"/>
          <w:sz w:val="20"/>
          <w:szCs w:val="20"/>
        </w:rPr>
        <w:t>)</w:t>
      </w:r>
    </w:p>
    <w:p w14:paraId="65BF8C06" w14:textId="77777777" w:rsidR="00C05090" w:rsidRPr="009C7C3C" w:rsidRDefault="00C05090" w:rsidP="009C7C3C">
      <w:pPr>
        <w:spacing w:after="0" w:line="240" w:lineRule="auto"/>
        <w:jc w:val="right"/>
        <w:rPr>
          <w:rFonts w:ascii="Times New Roman" w:hAnsi="Times New Roman" w:cs="Times New Roman"/>
          <w:sz w:val="20"/>
          <w:szCs w:val="20"/>
        </w:rPr>
      </w:pPr>
    </w:p>
    <w:p w14:paraId="3393BC44" w14:textId="77777777" w:rsidR="009C7C3C" w:rsidRDefault="009C7C3C" w:rsidP="009C7C3C">
      <w:pPr>
        <w:pStyle w:val="Heading1"/>
        <w:spacing w:before="0" w:after="0" w:line="240" w:lineRule="auto"/>
        <w:jc w:val="both"/>
        <w:rPr>
          <w:rFonts w:ascii="Times New Roman" w:hAnsi="Times New Roman"/>
          <w:sz w:val="20"/>
          <w:szCs w:val="20"/>
        </w:rPr>
      </w:pPr>
    </w:p>
    <w:p w14:paraId="575744C5" w14:textId="2F5467D0" w:rsidR="00D55C42" w:rsidRPr="00DD0523" w:rsidRDefault="00C05090" w:rsidP="002B4828">
      <w:pPr>
        <w:pStyle w:val="Heading1"/>
        <w:spacing w:after="0"/>
        <w:jc w:val="both"/>
        <w:rPr>
          <w:rFonts w:ascii="Times New Roman" w:hAnsi="Times New Roman"/>
          <w:b w:val="0"/>
          <w:sz w:val="22"/>
          <w:szCs w:val="22"/>
        </w:rPr>
      </w:pPr>
      <w:r w:rsidRPr="00DD0523">
        <w:rPr>
          <w:rFonts w:ascii="Times New Roman" w:hAnsi="Times New Roman"/>
          <w:sz w:val="22"/>
          <w:szCs w:val="22"/>
        </w:rPr>
        <w:t>Overview</w:t>
      </w:r>
      <w:r w:rsidR="003E4361" w:rsidRPr="00DD0523">
        <w:rPr>
          <w:rFonts w:ascii="Times New Roman" w:hAnsi="Times New Roman"/>
          <w:sz w:val="22"/>
          <w:szCs w:val="22"/>
        </w:rPr>
        <w:t xml:space="preserve">: </w:t>
      </w:r>
      <w:r w:rsidR="006F0BB9" w:rsidRPr="00DD0523">
        <w:rPr>
          <w:rFonts w:ascii="Times New Roman" w:hAnsi="Times New Roman"/>
          <w:b w:val="0"/>
          <w:sz w:val="22"/>
          <w:szCs w:val="22"/>
        </w:rPr>
        <w:t xml:space="preserve">The 21st Session of the Conference of Parties (COP21) to the United Nations Framework Convention on Climate Change (UNFCCC) held in Paris in November-December 2015 agreed to reduce global GHG emissions to the level to stabilize the increase in the mean earth surface temperature below 2 Celsius from pre-industrialized period (UNFCCC, 2015). This agreement is known as the ‘Paris Agreement’. In this Agreement, both developed and developing countries committed, though voluntarily, to implement various GHG mitigation measures as appropriate to their national circumstances. Mitigation of GHG emissions through these measures is termed as their ‘nationally determined contribution (NDC)’. Most </w:t>
      </w:r>
      <w:r w:rsidR="00C652EA" w:rsidRPr="00DD0523">
        <w:rPr>
          <w:rFonts w:ascii="Times New Roman" w:hAnsi="Times New Roman"/>
          <w:b w:val="0"/>
          <w:sz w:val="22"/>
          <w:szCs w:val="22"/>
        </w:rPr>
        <w:t>parties to the UNFCCC</w:t>
      </w:r>
      <w:r w:rsidR="006F0BB9" w:rsidRPr="00DD0523">
        <w:rPr>
          <w:rFonts w:ascii="Times New Roman" w:hAnsi="Times New Roman"/>
          <w:b w:val="0"/>
          <w:sz w:val="22"/>
          <w:szCs w:val="22"/>
        </w:rPr>
        <w:t xml:space="preserve"> </w:t>
      </w:r>
      <w:r w:rsidR="00C652EA" w:rsidRPr="00DD0523">
        <w:rPr>
          <w:rFonts w:ascii="Times New Roman" w:hAnsi="Times New Roman"/>
          <w:b w:val="0"/>
          <w:sz w:val="22"/>
          <w:szCs w:val="22"/>
        </w:rPr>
        <w:t>made</w:t>
      </w:r>
      <w:r w:rsidR="006F0BB9" w:rsidRPr="00DD0523">
        <w:rPr>
          <w:rFonts w:ascii="Times New Roman" w:hAnsi="Times New Roman"/>
          <w:b w:val="0"/>
          <w:sz w:val="22"/>
          <w:szCs w:val="22"/>
        </w:rPr>
        <w:t xml:space="preserve"> quantified GHG mitigation </w:t>
      </w:r>
      <w:r w:rsidR="00C652EA" w:rsidRPr="00DD0523">
        <w:rPr>
          <w:rFonts w:ascii="Times New Roman" w:hAnsi="Times New Roman"/>
          <w:b w:val="0"/>
          <w:sz w:val="22"/>
          <w:szCs w:val="22"/>
        </w:rPr>
        <w:t>pledges to be met by</w:t>
      </w:r>
      <w:r w:rsidR="006F0BB9" w:rsidRPr="00DD0523">
        <w:rPr>
          <w:rFonts w:ascii="Times New Roman" w:hAnsi="Times New Roman"/>
          <w:b w:val="0"/>
          <w:sz w:val="22"/>
          <w:szCs w:val="22"/>
        </w:rPr>
        <w:t xml:space="preserve"> year 2030 through the implementation of </w:t>
      </w:r>
      <w:r w:rsidR="00C652EA" w:rsidRPr="00DD0523">
        <w:rPr>
          <w:rFonts w:ascii="Times New Roman" w:hAnsi="Times New Roman"/>
          <w:b w:val="0"/>
          <w:sz w:val="22"/>
          <w:szCs w:val="22"/>
        </w:rPr>
        <w:t xml:space="preserve">their </w:t>
      </w:r>
      <w:r w:rsidR="006F0BB9" w:rsidRPr="00DD0523">
        <w:rPr>
          <w:rFonts w:ascii="Times New Roman" w:hAnsi="Times New Roman"/>
          <w:b w:val="0"/>
          <w:sz w:val="22"/>
          <w:szCs w:val="22"/>
        </w:rPr>
        <w:t>NDCs. China has committed a goal of reducing its emission intensity (i.e., CO</w:t>
      </w:r>
      <w:r w:rsidR="006F0BB9" w:rsidRPr="00DD0523">
        <w:rPr>
          <w:rFonts w:ascii="Times New Roman" w:hAnsi="Times New Roman"/>
          <w:b w:val="0"/>
          <w:sz w:val="22"/>
          <w:szCs w:val="22"/>
          <w:vertAlign w:val="subscript"/>
        </w:rPr>
        <w:t>2</w:t>
      </w:r>
      <w:r w:rsidR="006F0BB9" w:rsidRPr="00DD0523">
        <w:rPr>
          <w:rFonts w:ascii="Times New Roman" w:hAnsi="Times New Roman"/>
          <w:b w:val="0"/>
          <w:sz w:val="22"/>
          <w:szCs w:val="22"/>
        </w:rPr>
        <w:t xml:space="preserve"> emissions per unit of GDP) by 60 t</w:t>
      </w:r>
      <w:r w:rsidR="00C652EA" w:rsidRPr="00DD0523">
        <w:rPr>
          <w:rFonts w:ascii="Times New Roman" w:hAnsi="Times New Roman"/>
          <w:b w:val="0"/>
          <w:sz w:val="22"/>
          <w:szCs w:val="22"/>
        </w:rPr>
        <w:t xml:space="preserve">o 65 percent below 2005 levels. It has also set a goal of </w:t>
      </w:r>
      <w:r w:rsidR="006F0BB9" w:rsidRPr="00DD0523">
        <w:rPr>
          <w:rFonts w:ascii="Times New Roman" w:hAnsi="Times New Roman"/>
          <w:b w:val="0"/>
          <w:sz w:val="22"/>
          <w:szCs w:val="22"/>
        </w:rPr>
        <w:t>increas</w:t>
      </w:r>
      <w:r w:rsidR="00C652EA" w:rsidRPr="00DD0523">
        <w:rPr>
          <w:rFonts w:ascii="Times New Roman" w:hAnsi="Times New Roman"/>
          <w:b w:val="0"/>
          <w:sz w:val="22"/>
          <w:szCs w:val="22"/>
        </w:rPr>
        <w:t>ing</w:t>
      </w:r>
      <w:r w:rsidR="006F0BB9" w:rsidRPr="00DD0523">
        <w:rPr>
          <w:rFonts w:ascii="Times New Roman" w:hAnsi="Times New Roman"/>
          <w:b w:val="0"/>
          <w:sz w:val="22"/>
          <w:szCs w:val="22"/>
        </w:rPr>
        <w:t xml:space="preserve"> the share of non-fossil fuels to 20% of its total primary energy consumption</w:t>
      </w:r>
      <w:r w:rsidR="00C652EA" w:rsidRPr="00DD0523">
        <w:rPr>
          <w:rFonts w:ascii="Times New Roman" w:hAnsi="Times New Roman"/>
          <w:b w:val="0"/>
          <w:sz w:val="22"/>
          <w:szCs w:val="22"/>
        </w:rPr>
        <w:t xml:space="preserve"> by 2030</w:t>
      </w:r>
      <w:r w:rsidR="006F0BB9" w:rsidRPr="00DD0523">
        <w:rPr>
          <w:rFonts w:ascii="Times New Roman" w:hAnsi="Times New Roman"/>
          <w:b w:val="0"/>
          <w:sz w:val="22"/>
          <w:szCs w:val="22"/>
        </w:rPr>
        <w:t xml:space="preserve">. </w:t>
      </w:r>
      <w:r w:rsidR="00C652EA" w:rsidRPr="00DD0523">
        <w:rPr>
          <w:rFonts w:ascii="Times New Roman" w:hAnsi="Times New Roman"/>
          <w:b w:val="0"/>
          <w:sz w:val="22"/>
          <w:szCs w:val="22"/>
        </w:rPr>
        <w:t xml:space="preserve">Using an energy sector optimization model, TIMES, this study analyses the energy sector impacts of meeting China’s NDC targets. </w:t>
      </w:r>
    </w:p>
    <w:p w14:paraId="05C972FE" w14:textId="4E91DF8A" w:rsidR="002B4828" w:rsidRPr="00DD0523" w:rsidRDefault="00DE00A3" w:rsidP="002B4828">
      <w:pPr>
        <w:pStyle w:val="Heading1"/>
        <w:spacing w:after="0"/>
        <w:jc w:val="both"/>
        <w:rPr>
          <w:rFonts w:ascii="Times New Roman" w:hAnsi="Times New Roman"/>
          <w:b w:val="0"/>
          <w:sz w:val="22"/>
          <w:szCs w:val="22"/>
        </w:rPr>
      </w:pPr>
      <w:bookmarkStart w:id="0" w:name="_Toc347121721"/>
      <w:bookmarkStart w:id="1" w:name="_Toc347121716"/>
      <w:r w:rsidRPr="00DD0523">
        <w:rPr>
          <w:rFonts w:ascii="Times New Roman" w:hAnsi="Times New Roman"/>
          <w:sz w:val="22"/>
          <w:szCs w:val="22"/>
        </w:rPr>
        <w:t>Methodology:</w:t>
      </w:r>
      <w:r w:rsidRPr="00DD0523">
        <w:rPr>
          <w:rFonts w:ascii="Times New Roman" w:hAnsi="Times New Roman"/>
          <w:b w:val="0"/>
          <w:sz w:val="22"/>
          <w:szCs w:val="22"/>
        </w:rPr>
        <w:t xml:space="preserve"> </w:t>
      </w:r>
      <w:bookmarkEnd w:id="0"/>
      <w:r w:rsidR="00A82A86" w:rsidRPr="00DD0523">
        <w:rPr>
          <w:rFonts w:ascii="Times New Roman" w:hAnsi="Times New Roman"/>
          <w:b w:val="0"/>
          <w:sz w:val="22"/>
          <w:szCs w:val="22"/>
        </w:rPr>
        <w:t>The study employs TIMES model</w:t>
      </w:r>
      <w:r w:rsidR="00A0610F" w:rsidRPr="00DD0523">
        <w:rPr>
          <w:rFonts w:ascii="Times New Roman" w:hAnsi="Times New Roman"/>
          <w:b w:val="0"/>
          <w:sz w:val="22"/>
          <w:szCs w:val="22"/>
        </w:rPr>
        <w:t xml:space="preserve">. The structure of the model is </w:t>
      </w:r>
      <w:proofErr w:type="gramStart"/>
      <w:r w:rsidR="00A0610F" w:rsidRPr="00DD0523">
        <w:rPr>
          <w:rFonts w:ascii="Times New Roman" w:hAnsi="Times New Roman"/>
          <w:b w:val="0"/>
          <w:sz w:val="22"/>
          <w:szCs w:val="22"/>
        </w:rPr>
        <w:t>similar to</w:t>
      </w:r>
      <w:proofErr w:type="gramEnd"/>
      <w:r w:rsidR="00A0610F" w:rsidRPr="00DD0523">
        <w:rPr>
          <w:rFonts w:ascii="Times New Roman" w:hAnsi="Times New Roman"/>
          <w:b w:val="0"/>
          <w:sz w:val="22"/>
          <w:szCs w:val="22"/>
        </w:rPr>
        <w:t xml:space="preserve"> </w:t>
      </w:r>
      <w:r w:rsidR="007A2434" w:rsidRPr="00DD0523">
        <w:rPr>
          <w:rFonts w:ascii="Times New Roman" w:hAnsi="Times New Roman"/>
          <w:b w:val="0"/>
          <w:sz w:val="22"/>
          <w:szCs w:val="22"/>
        </w:rPr>
        <w:t xml:space="preserve">that </w:t>
      </w:r>
      <w:r w:rsidR="00A0610F" w:rsidRPr="00DD0523">
        <w:rPr>
          <w:rFonts w:ascii="Times New Roman" w:hAnsi="Times New Roman"/>
          <w:b w:val="0"/>
          <w:sz w:val="22"/>
          <w:szCs w:val="22"/>
        </w:rPr>
        <w:t xml:space="preserve">developed by Chen et al. (2014), Cayla and </w:t>
      </w:r>
      <w:proofErr w:type="spellStart"/>
      <w:r w:rsidR="00A0610F" w:rsidRPr="00DD0523">
        <w:rPr>
          <w:rFonts w:ascii="Times New Roman" w:hAnsi="Times New Roman"/>
          <w:b w:val="0"/>
          <w:sz w:val="22"/>
          <w:szCs w:val="22"/>
        </w:rPr>
        <w:t>Maïzi</w:t>
      </w:r>
      <w:proofErr w:type="spellEnd"/>
      <w:r w:rsidR="00A0610F" w:rsidRPr="00DD0523">
        <w:rPr>
          <w:rFonts w:ascii="Times New Roman" w:hAnsi="Times New Roman"/>
          <w:b w:val="0"/>
          <w:sz w:val="22"/>
          <w:szCs w:val="22"/>
        </w:rPr>
        <w:t xml:space="preserve"> (2015)</w:t>
      </w:r>
      <w:r w:rsidR="007A2434" w:rsidRPr="00DD0523">
        <w:rPr>
          <w:rFonts w:ascii="Times New Roman" w:hAnsi="Times New Roman"/>
          <w:b w:val="0"/>
          <w:sz w:val="22"/>
          <w:szCs w:val="22"/>
        </w:rPr>
        <w:t xml:space="preserve"> and Timilsina and Jorgenson (201</w:t>
      </w:r>
      <w:r w:rsidR="00112877" w:rsidRPr="00DD0523">
        <w:rPr>
          <w:rFonts w:ascii="Times New Roman" w:hAnsi="Times New Roman"/>
          <w:b w:val="0"/>
          <w:sz w:val="22"/>
          <w:szCs w:val="22"/>
        </w:rPr>
        <w:t>8</w:t>
      </w:r>
      <w:r w:rsidR="007A2434" w:rsidRPr="00DD0523">
        <w:rPr>
          <w:rFonts w:ascii="Times New Roman" w:hAnsi="Times New Roman"/>
          <w:b w:val="0"/>
          <w:sz w:val="22"/>
          <w:szCs w:val="22"/>
        </w:rPr>
        <w:t xml:space="preserve">). </w:t>
      </w:r>
      <w:r w:rsidR="00A82A86" w:rsidRPr="00DD0523">
        <w:rPr>
          <w:rFonts w:ascii="Times New Roman" w:hAnsi="Times New Roman"/>
          <w:b w:val="0"/>
          <w:sz w:val="22"/>
          <w:szCs w:val="22"/>
        </w:rPr>
        <w:t xml:space="preserve">The </w:t>
      </w:r>
      <w:r w:rsidR="002B4828" w:rsidRPr="00DD0523">
        <w:rPr>
          <w:rFonts w:ascii="Times New Roman" w:hAnsi="Times New Roman"/>
          <w:b w:val="0"/>
          <w:sz w:val="22"/>
          <w:szCs w:val="22"/>
        </w:rPr>
        <w:t xml:space="preserve">model is based on reference energy system (RES) principle. A RES refers to an optimal system where useful energy demand by end-uses (e.g., light, heat, electric traction, motive power etc.) in each sector (e.g., industrial, households) are met through various channels or networks which transports energy commodities (coal, oil, gas, electricity) from domestic primary energy sources or imported primary or final energy sources. Various energy consumption technologies that produces final energy to useful energy (e.g., a boiler converts natural gas to heat, a light bulb converts electricity to light, an electrical motor converts electrical energy to mechanical energy) in the demand side whereas energy production or transformation technologies (e.g., electricity power plants to produce electricity from fuels) in the supply side. Energy transportation facilities (e.g., pipelines for oil and gas, transmission lines for electricity) carry energy commodities from production location to demand centers. </w:t>
      </w:r>
      <w:r w:rsidR="00112877" w:rsidRPr="00DD0523">
        <w:rPr>
          <w:rFonts w:ascii="Times New Roman" w:hAnsi="Times New Roman"/>
          <w:b w:val="0"/>
          <w:sz w:val="22"/>
          <w:szCs w:val="22"/>
        </w:rPr>
        <w:t xml:space="preserve">Using </w:t>
      </w:r>
      <w:r w:rsidR="00A0610F" w:rsidRPr="00DD0523">
        <w:rPr>
          <w:rFonts w:ascii="Times New Roman" w:hAnsi="Times New Roman"/>
          <w:b w:val="0"/>
          <w:sz w:val="22"/>
          <w:szCs w:val="22"/>
        </w:rPr>
        <w:t xml:space="preserve">the linear programming </w:t>
      </w:r>
      <w:r w:rsidR="00112877" w:rsidRPr="00DD0523">
        <w:rPr>
          <w:rFonts w:ascii="Times New Roman" w:hAnsi="Times New Roman"/>
          <w:b w:val="0"/>
          <w:sz w:val="22"/>
          <w:szCs w:val="22"/>
        </w:rPr>
        <w:t xml:space="preserve">technique, the model generates </w:t>
      </w:r>
      <w:r w:rsidR="00A0610F" w:rsidRPr="00DD0523">
        <w:rPr>
          <w:rFonts w:ascii="Times New Roman" w:hAnsi="Times New Roman"/>
          <w:b w:val="0"/>
          <w:sz w:val="22"/>
          <w:szCs w:val="22"/>
        </w:rPr>
        <w:t>optim</w:t>
      </w:r>
      <w:r w:rsidR="00112877" w:rsidRPr="00DD0523">
        <w:rPr>
          <w:rFonts w:ascii="Times New Roman" w:hAnsi="Times New Roman"/>
          <w:b w:val="0"/>
          <w:sz w:val="22"/>
          <w:szCs w:val="22"/>
        </w:rPr>
        <w:t>al energy mix by minimizing the total energy system costs of meeting projected energy demand satisfying specified resource, technical, environmental, and other constraints</w:t>
      </w:r>
      <w:r w:rsidR="002B4828" w:rsidRPr="00DD0523">
        <w:rPr>
          <w:rFonts w:ascii="Times New Roman" w:hAnsi="Times New Roman"/>
          <w:b w:val="0"/>
          <w:sz w:val="22"/>
          <w:szCs w:val="22"/>
        </w:rPr>
        <w:t>.</w:t>
      </w:r>
      <w:r w:rsidR="00A82A86" w:rsidRPr="00DD0523">
        <w:rPr>
          <w:rFonts w:ascii="Times New Roman" w:hAnsi="Times New Roman"/>
          <w:b w:val="0"/>
          <w:sz w:val="22"/>
          <w:szCs w:val="22"/>
        </w:rPr>
        <w:t xml:space="preserve"> The model developed for this study has </w:t>
      </w:r>
      <w:r w:rsidR="00112877" w:rsidRPr="00DD0523">
        <w:rPr>
          <w:rFonts w:ascii="Times New Roman" w:hAnsi="Times New Roman"/>
          <w:b w:val="0"/>
          <w:sz w:val="22"/>
          <w:szCs w:val="22"/>
        </w:rPr>
        <w:t xml:space="preserve">43 energy sub-sectors, </w:t>
      </w:r>
      <w:r w:rsidR="004E2245" w:rsidRPr="00DD0523">
        <w:rPr>
          <w:rFonts w:ascii="Times New Roman" w:hAnsi="Times New Roman"/>
          <w:b w:val="0"/>
          <w:sz w:val="22"/>
          <w:szCs w:val="22"/>
        </w:rPr>
        <w:t xml:space="preserve">including industry sub-sectors (like ferrous metal sector, non-ferrous metal sector, non-metallic sector, etc.), </w:t>
      </w:r>
      <w:r w:rsidR="00112877" w:rsidRPr="00DD0523">
        <w:rPr>
          <w:rFonts w:ascii="Times New Roman" w:hAnsi="Times New Roman"/>
          <w:b w:val="0"/>
          <w:sz w:val="22"/>
          <w:szCs w:val="22"/>
        </w:rPr>
        <w:t>residential sub-sectors</w:t>
      </w:r>
      <w:r w:rsidR="004E2245" w:rsidRPr="00DD0523">
        <w:rPr>
          <w:rFonts w:ascii="Times New Roman" w:hAnsi="Times New Roman"/>
          <w:b w:val="0"/>
          <w:sz w:val="22"/>
          <w:szCs w:val="22"/>
        </w:rPr>
        <w:t xml:space="preserve"> (like urban residential and rural residential in north and south region)</w:t>
      </w:r>
      <w:r w:rsidR="00112877" w:rsidRPr="00DD0523">
        <w:rPr>
          <w:rFonts w:ascii="Times New Roman" w:hAnsi="Times New Roman"/>
          <w:b w:val="0"/>
          <w:sz w:val="22"/>
          <w:szCs w:val="22"/>
        </w:rPr>
        <w:t>,</w:t>
      </w:r>
      <w:r w:rsidR="004E2245" w:rsidRPr="00DD0523">
        <w:rPr>
          <w:rFonts w:ascii="Times New Roman" w:hAnsi="Times New Roman"/>
          <w:b w:val="0"/>
          <w:sz w:val="22"/>
          <w:szCs w:val="22"/>
        </w:rPr>
        <w:t xml:space="preserve"> </w:t>
      </w:r>
      <w:r w:rsidR="00112877" w:rsidRPr="00DD0523">
        <w:rPr>
          <w:rFonts w:ascii="Times New Roman" w:hAnsi="Times New Roman"/>
          <w:b w:val="0"/>
          <w:sz w:val="22"/>
          <w:szCs w:val="22"/>
        </w:rPr>
        <w:t>commercial sub-sectors</w:t>
      </w:r>
      <w:r w:rsidR="004E2245" w:rsidRPr="00DD0523">
        <w:rPr>
          <w:rFonts w:ascii="Times New Roman" w:hAnsi="Times New Roman"/>
          <w:b w:val="0"/>
          <w:sz w:val="22"/>
          <w:szCs w:val="22"/>
        </w:rPr>
        <w:t xml:space="preserve"> (large commercial building and common commercial building)</w:t>
      </w:r>
      <w:r w:rsidR="00112877" w:rsidRPr="00DD0523">
        <w:rPr>
          <w:rFonts w:ascii="Times New Roman" w:hAnsi="Times New Roman"/>
          <w:b w:val="0"/>
          <w:sz w:val="22"/>
          <w:szCs w:val="22"/>
        </w:rPr>
        <w:t>, transportation sub-sectors</w:t>
      </w:r>
      <w:r w:rsidR="004E2245" w:rsidRPr="00DD0523">
        <w:rPr>
          <w:rFonts w:ascii="Times New Roman" w:hAnsi="Times New Roman"/>
          <w:b w:val="0"/>
          <w:sz w:val="22"/>
          <w:szCs w:val="22"/>
        </w:rPr>
        <w:t xml:space="preserve"> (with different transportation modes)</w:t>
      </w:r>
      <w:r w:rsidR="00112877" w:rsidRPr="00DD0523">
        <w:rPr>
          <w:rFonts w:ascii="Times New Roman" w:hAnsi="Times New Roman"/>
          <w:b w:val="0"/>
          <w:sz w:val="22"/>
          <w:szCs w:val="22"/>
        </w:rPr>
        <w:t xml:space="preserve"> and agriculture sector. It has considered </w:t>
      </w:r>
      <w:r w:rsidR="004E2245" w:rsidRPr="00DD0523">
        <w:rPr>
          <w:rFonts w:ascii="Times New Roman" w:hAnsi="Times New Roman"/>
          <w:b w:val="0"/>
          <w:sz w:val="22"/>
          <w:szCs w:val="22"/>
        </w:rPr>
        <w:t>around 90 various domestic production</w:t>
      </w:r>
      <w:r w:rsidR="00112877" w:rsidRPr="00DD0523">
        <w:rPr>
          <w:rFonts w:ascii="Times New Roman" w:hAnsi="Times New Roman"/>
          <w:b w:val="0"/>
          <w:sz w:val="22"/>
          <w:szCs w:val="22"/>
        </w:rPr>
        <w:t xml:space="preserve"> technologies to produce primary energy</w:t>
      </w:r>
      <w:r w:rsidR="004E2245" w:rsidRPr="00DD0523">
        <w:rPr>
          <w:rFonts w:ascii="Times New Roman" w:hAnsi="Times New Roman"/>
          <w:b w:val="0"/>
          <w:sz w:val="22"/>
          <w:szCs w:val="22"/>
        </w:rPr>
        <w:t xml:space="preserve">, around 30 </w:t>
      </w:r>
      <w:r w:rsidR="00112877" w:rsidRPr="00DD0523">
        <w:rPr>
          <w:rFonts w:ascii="Times New Roman" w:hAnsi="Times New Roman"/>
          <w:b w:val="0"/>
          <w:sz w:val="22"/>
          <w:szCs w:val="22"/>
        </w:rPr>
        <w:t xml:space="preserve">technologies to convert primary energy to final energy and </w:t>
      </w:r>
      <w:r w:rsidR="00747674" w:rsidRPr="00DD0523">
        <w:rPr>
          <w:rFonts w:ascii="Times New Roman" w:hAnsi="Times New Roman"/>
          <w:b w:val="0"/>
          <w:sz w:val="22"/>
          <w:szCs w:val="22"/>
        </w:rPr>
        <w:t>290</w:t>
      </w:r>
      <w:r w:rsidR="00112877" w:rsidRPr="00DD0523">
        <w:rPr>
          <w:rFonts w:ascii="Times New Roman" w:hAnsi="Times New Roman"/>
          <w:b w:val="0"/>
          <w:sz w:val="22"/>
          <w:szCs w:val="22"/>
        </w:rPr>
        <w:t xml:space="preserve"> technologies to utilize final energy. </w:t>
      </w:r>
      <w:r w:rsidR="005A512A" w:rsidRPr="00DD0523">
        <w:rPr>
          <w:rFonts w:ascii="Times New Roman" w:hAnsi="Times New Roman"/>
          <w:b w:val="0"/>
          <w:sz w:val="22"/>
          <w:szCs w:val="22"/>
        </w:rPr>
        <w:t xml:space="preserve">Altogether, the model considers </w:t>
      </w:r>
      <w:r w:rsidR="00747674" w:rsidRPr="00DD0523">
        <w:rPr>
          <w:rFonts w:ascii="Times New Roman" w:hAnsi="Times New Roman"/>
          <w:b w:val="0"/>
          <w:sz w:val="22"/>
          <w:szCs w:val="22"/>
        </w:rPr>
        <w:t xml:space="preserve">more than </w:t>
      </w:r>
      <w:r w:rsidR="002B4828" w:rsidRPr="00DD0523">
        <w:rPr>
          <w:rFonts w:ascii="Times New Roman" w:hAnsi="Times New Roman"/>
          <w:b w:val="0"/>
          <w:sz w:val="22"/>
          <w:szCs w:val="22"/>
        </w:rPr>
        <w:t xml:space="preserve">400 technologies. </w:t>
      </w:r>
      <w:r w:rsidR="005A512A" w:rsidRPr="00DD0523">
        <w:rPr>
          <w:rFonts w:ascii="Times New Roman" w:hAnsi="Times New Roman"/>
          <w:b w:val="0"/>
          <w:sz w:val="22"/>
          <w:szCs w:val="22"/>
        </w:rPr>
        <w:t xml:space="preserve">For energy demand projection, we used two methodologies: (i) a simple bottom-up engineering methodology </w:t>
      </w:r>
      <w:r w:rsidR="00035368" w:rsidRPr="00DD0523">
        <w:rPr>
          <w:rFonts w:ascii="Times New Roman" w:hAnsi="Times New Roman"/>
          <w:b w:val="0"/>
          <w:sz w:val="22"/>
          <w:szCs w:val="22"/>
        </w:rPr>
        <w:t xml:space="preserve">(Case 1) </w:t>
      </w:r>
      <w:r w:rsidR="005A512A" w:rsidRPr="00DD0523">
        <w:rPr>
          <w:rFonts w:ascii="Times New Roman" w:hAnsi="Times New Roman"/>
          <w:b w:val="0"/>
          <w:sz w:val="22"/>
          <w:szCs w:val="22"/>
        </w:rPr>
        <w:t>and (ii) a top-down computable general equilibrium model</w:t>
      </w:r>
      <w:r w:rsidR="00035368" w:rsidRPr="00DD0523">
        <w:rPr>
          <w:rFonts w:ascii="Times New Roman" w:hAnsi="Times New Roman"/>
          <w:b w:val="0"/>
          <w:sz w:val="22"/>
          <w:szCs w:val="22"/>
        </w:rPr>
        <w:t xml:space="preserve"> (Case 2)</w:t>
      </w:r>
      <w:r w:rsidR="005A512A" w:rsidRPr="00DD0523">
        <w:rPr>
          <w:rFonts w:ascii="Times New Roman" w:hAnsi="Times New Roman"/>
          <w:b w:val="0"/>
          <w:sz w:val="22"/>
          <w:szCs w:val="22"/>
        </w:rPr>
        <w:t xml:space="preserve">. </w:t>
      </w:r>
      <w:r w:rsidR="00DD0523">
        <w:rPr>
          <w:rFonts w:ascii="Times New Roman" w:hAnsi="Times New Roman"/>
          <w:b w:val="0"/>
          <w:sz w:val="22"/>
          <w:szCs w:val="22"/>
        </w:rPr>
        <w:lastRenderedPageBreak/>
        <w:t>U</w:t>
      </w:r>
      <w:bookmarkStart w:id="2" w:name="_GoBack"/>
      <w:bookmarkEnd w:id="2"/>
      <w:r w:rsidR="005A512A" w:rsidRPr="00DD0523">
        <w:rPr>
          <w:rFonts w:ascii="Times New Roman" w:hAnsi="Times New Roman"/>
          <w:b w:val="0"/>
          <w:sz w:val="22"/>
          <w:szCs w:val="22"/>
        </w:rPr>
        <w:t xml:space="preserve">nder the second methodology, a detailed excel based linkage has been developed to calibrate the CGE forecasts as needed by the detailed TIMES’ structure.   </w:t>
      </w:r>
    </w:p>
    <w:p w14:paraId="37D93A08" w14:textId="39DAEA69" w:rsidR="00523733" w:rsidRPr="00DD0523" w:rsidRDefault="0075149B" w:rsidP="009F3AED">
      <w:pPr>
        <w:pStyle w:val="Heading1"/>
        <w:spacing w:before="0" w:after="0"/>
        <w:jc w:val="both"/>
        <w:rPr>
          <w:rFonts w:ascii="Times New Roman" w:hAnsi="Times New Roman"/>
          <w:b w:val="0"/>
          <w:sz w:val="22"/>
          <w:szCs w:val="22"/>
        </w:rPr>
      </w:pPr>
      <w:r w:rsidRPr="00DD0523">
        <w:rPr>
          <w:rFonts w:ascii="Times New Roman" w:hAnsi="Times New Roman"/>
          <w:b w:val="0"/>
          <w:sz w:val="22"/>
          <w:szCs w:val="22"/>
        </w:rPr>
        <w:t xml:space="preserve"> </w:t>
      </w:r>
      <w:r w:rsidR="000F7997" w:rsidRPr="00DD0523">
        <w:rPr>
          <w:rFonts w:ascii="Times New Roman" w:hAnsi="Times New Roman"/>
          <w:b w:val="0"/>
          <w:sz w:val="22"/>
          <w:szCs w:val="22"/>
        </w:rPr>
        <w:t xml:space="preserve"> </w:t>
      </w:r>
    </w:p>
    <w:p w14:paraId="38D47A17" w14:textId="1B00EC07" w:rsidR="00251313" w:rsidRPr="00DD0523" w:rsidRDefault="005F2CBC" w:rsidP="009F3AED">
      <w:pPr>
        <w:spacing w:after="0"/>
        <w:jc w:val="both"/>
        <w:rPr>
          <w:rFonts w:ascii="Times New Roman" w:hAnsi="Times New Roman" w:cs="Times New Roman"/>
        </w:rPr>
      </w:pPr>
      <w:r w:rsidRPr="00DD0523">
        <w:rPr>
          <w:rFonts w:ascii="Times New Roman" w:hAnsi="Times New Roman" w:cs="Times New Roman"/>
          <w:b/>
        </w:rPr>
        <w:t>Results:</w:t>
      </w:r>
      <w:bookmarkEnd w:id="1"/>
      <w:r w:rsidR="00980E0B" w:rsidRPr="00DD0523">
        <w:rPr>
          <w:rFonts w:ascii="Times New Roman" w:hAnsi="Times New Roman" w:cs="Times New Roman"/>
        </w:rPr>
        <w:t xml:space="preserve">  </w:t>
      </w:r>
      <w:r w:rsidR="001A5D12" w:rsidRPr="00DD0523">
        <w:rPr>
          <w:rFonts w:ascii="Times New Roman" w:hAnsi="Times New Roman" w:cs="Times New Roman"/>
        </w:rPr>
        <w:t xml:space="preserve">Table 1 presents key results </w:t>
      </w:r>
      <w:r w:rsidR="00251313" w:rsidRPr="00DD0523">
        <w:rPr>
          <w:rFonts w:ascii="Times New Roman" w:hAnsi="Times New Roman" w:cs="Times New Roman"/>
        </w:rPr>
        <w:t>of TIMES model under</w:t>
      </w:r>
      <w:r w:rsidR="0074010A" w:rsidRPr="00DD0523">
        <w:rPr>
          <w:rFonts w:ascii="Times New Roman" w:hAnsi="Times New Roman" w:cs="Times New Roman"/>
        </w:rPr>
        <w:t xml:space="preserve"> alternative scenarios</w:t>
      </w:r>
      <w:r w:rsidR="00251313" w:rsidRPr="00DD0523">
        <w:rPr>
          <w:rFonts w:ascii="Times New Roman" w:hAnsi="Times New Roman" w:cs="Times New Roman"/>
        </w:rPr>
        <w:t>.</w:t>
      </w:r>
      <w:r w:rsidR="0074010A" w:rsidRPr="00DD0523">
        <w:rPr>
          <w:rFonts w:ascii="Times New Roman" w:hAnsi="Times New Roman" w:cs="Times New Roman"/>
        </w:rPr>
        <w:t xml:space="preserve"> The total energy supply and energy supply mix are very different between energy demand forecasting methodolog</w:t>
      </w:r>
      <w:r w:rsidR="00F77021" w:rsidRPr="00DD0523">
        <w:rPr>
          <w:rFonts w:ascii="Times New Roman" w:hAnsi="Times New Roman" w:cs="Times New Roman"/>
        </w:rPr>
        <w:t>ies</w:t>
      </w:r>
      <w:r w:rsidR="0074010A" w:rsidRPr="00DD0523">
        <w:rPr>
          <w:rFonts w:ascii="Times New Roman" w:hAnsi="Times New Roman" w:cs="Times New Roman"/>
        </w:rPr>
        <w:t xml:space="preserve"> used</w:t>
      </w:r>
      <w:r w:rsidR="00035368" w:rsidRPr="00DD0523">
        <w:rPr>
          <w:rFonts w:ascii="Times New Roman" w:hAnsi="Times New Roman" w:cs="Times New Roman"/>
        </w:rPr>
        <w:t xml:space="preserve"> (i.e., between Case 1 and Case 2 defined earlier)</w:t>
      </w:r>
      <w:r w:rsidR="0074010A" w:rsidRPr="00DD0523">
        <w:rPr>
          <w:rFonts w:ascii="Times New Roman" w:hAnsi="Times New Roman" w:cs="Times New Roman"/>
        </w:rPr>
        <w:t xml:space="preserve">. </w:t>
      </w:r>
      <w:r w:rsidR="00F77021" w:rsidRPr="00DD0523">
        <w:rPr>
          <w:rFonts w:ascii="Times New Roman" w:hAnsi="Times New Roman" w:cs="Times New Roman"/>
        </w:rPr>
        <w:t xml:space="preserve">Total baseline energy supply in 2030 is almost 22% higher under CGE based energy demand projection case </w:t>
      </w:r>
      <w:r w:rsidR="00035368" w:rsidRPr="00DD0523">
        <w:rPr>
          <w:rFonts w:ascii="Times New Roman" w:hAnsi="Times New Roman" w:cs="Times New Roman"/>
        </w:rPr>
        <w:t xml:space="preserve">(Case 2) </w:t>
      </w:r>
      <w:r w:rsidR="00F77021" w:rsidRPr="00DD0523">
        <w:rPr>
          <w:rFonts w:ascii="Times New Roman" w:hAnsi="Times New Roman" w:cs="Times New Roman"/>
        </w:rPr>
        <w:t>than when TIMES’s bottom up technique is used for energy demand forecast</w:t>
      </w:r>
      <w:r w:rsidR="00035368" w:rsidRPr="00DD0523">
        <w:rPr>
          <w:rFonts w:ascii="Times New Roman" w:hAnsi="Times New Roman" w:cs="Times New Roman"/>
        </w:rPr>
        <w:t xml:space="preserve"> (Case 1)</w:t>
      </w:r>
      <w:r w:rsidR="00F77021" w:rsidRPr="00DD0523">
        <w:rPr>
          <w:rFonts w:ascii="Times New Roman" w:hAnsi="Times New Roman" w:cs="Times New Roman"/>
        </w:rPr>
        <w:t xml:space="preserve">. The former </w:t>
      </w:r>
      <w:r w:rsidR="00710E94" w:rsidRPr="00DD0523">
        <w:rPr>
          <w:rFonts w:ascii="Times New Roman" w:hAnsi="Times New Roman" w:cs="Times New Roman"/>
        </w:rPr>
        <w:t xml:space="preserve">case </w:t>
      </w:r>
      <w:r w:rsidR="00F77021" w:rsidRPr="00DD0523">
        <w:rPr>
          <w:rFonts w:ascii="Times New Roman" w:hAnsi="Times New Roman" w:cs="Times New Roman"/>
        </w:rPr>
        <w:t>uses complex CGE model for projecting key economic drivers of energy demand. It makes only two variables, population growth and GDP, exogenous, the rests are calculated by the model through a general equilibrium modeling technique.   The latter (</w:t>
      </w:r>
      <w:r w:rsidR="00035368" w:rsidRPr="00DD0523">
        <w:rPr>
          <w:rFonts w:ascii="Times New Roman" w:hAnsi="Times New Roman" w:cs="Times New Roman"/>
        </w:rPr>
        <w:t>Case 2</w:t>
      </w:r>
      <w:r w:rsidR="00F77021" w:rsidRPr="00DD0523">
        <w:rPr>
          <w:rFonts w:ascii="Times New Roman" w:hAnsi="Times New Roman" w:cs="Times New Roman"/>
        </w:rPr>
        <w:t xml:space="preserve">) uses ad-hoc assumptions on energy efficiency improvements and fuel and technologies mixes and simple elasticity parameters (energy demand elasticity with respect to GDP). While the methodology </w:t>
      </w:r>
      <w:r w:rsidR="00035368" w:rsidRPr="00DD0523">
        <w:rPr>
          <w:rFonts w:ascii="Times New Roman" w:hAnsi="Times New Roman" w:cs="Times New Roman"/>
        </w:rPr>
        <w:t xml:space="preserve">in Case 2 </w:t>
      </w:r>
      <w:r w:rsidR="00F77021" w:rsidRPr="00DD0523">
        <w:rPr>
          <w:rFonts w:ascii="Times New Roman" w:hAnsi="Times New Roman" w:cs="Times New Roman"/>
        </w:rPr>
        <w:t xml:space="preserve">is more consistent </w:t>
      </w:r>
      <w:r w:rsidR="00DF3114" w:rsidRPr="00DD0523">
        <w:rPr>
          <w:rFonts w:ascii="Times New Roman" w:hAnsi="Times New Roman" w:cs="Times New Roman"/>
        </w:rPr>
        <w:t>with</w:t>
      </w:r>
      <w:r w:rsidR="00F77021" w:rsidRPr="00DD0523">
        <w:rPr>
          <w:rFonts w:ascii="Times New Roman" w:hAnsi="Times New Roman" w:cs="Times New Roman"/>
        </w:rPr>
        <w:t xml:space="preserve"> economic theories, the latter </w:t>
      </w:r>
      <w:r w:rsidR="00035368" w:rsidRPr="00DD0523">
        <w:rPr>
          <w:rFonts w:ascii="Times New Roman" w:hAnsi="Times New Roman" w:cs="Times New Roman"/>
        </w:rPr>
        <w:t xml:space="preserve">(methodology in Case 1) </w:t>
      </w:r>
      <w:r w:rsidR="00DF3114" w:rsidRPr="00DD0523">
        <w:rPr>
          <w:rFonts w:ascii="Times New Roman" w:hAnsi="Times New Roman" w:cs="Times New Roman"/>
        </w:rPr>
        <w:t xml:space="preserve">incorporates experts’ judgements. A huge difference observed on coal share in total primary energy supply. Since </w:t>
      </w:r>
      <w:r w:rsidR="00035368" w:rsidRPr="00DD0523">
        <w:rPr>
          <w:rFonts w:ascii="Times New Roman" w:hAnsi="Times New Roman" w:cs="Times New Roman"/>
        </w:rPr>
        <w:t>Case 1</w:t>
      </w:r>
      <w:r w:rsidR="00DF3114" w:rsidRPr="00DD0523">
        <w:rPr>
          <w:rFonts w:ascii="Times New Roman" w:hAnsi="Times New Roman" w:cs="Times New Roman"/>
        </w:rPr>
        <w:t xml:space="preserve"> assumes (expert judgement) significant substitution of coal and oil with natural gas and renewables even in the baseline, shares of coal and oil are much smaller as compared to that projected </w:t>
      </w:r>
      <w:r w:rsidR="00035368" w:rsidRPr="00DD0523">
        <w:rPr>
          <w:rFonts w:ascii="Times New Roman" w:hAnsi="Times New Roman" w:cs="Times New Roman"/>
        </w:rPr>
        <w:t>under Case 2</w:t>
      </w:r>
      <w:r w:rsidR="00DF3114" w:rsidRPr="00DD0523">
        <w:rPr>
          <w:rFonts w:ascii="Times New Roman" w:hAnsi="Times New Roman" w:cs="Times New Roman"/>
        </w:rPr>
        <w:t xml:space="preserve">, </w:t>
      </w:r>
      <w:r w:rsidR="00035368" w:rsidRPr="00DD0523">
        <w:rPr>
          <w:rFonts w:ascii="Times New Roman" w:hAnsi="Times New Roman" w:cs="Times New Roman"/>
        </w:rPr>
        <w:t>where the model</w:t>
      </w:r>
      <w:r w:rsidR="00DF3114" w:rsidRPr="00DD0523">
        <w:rPr>
          <w:rFonts w:ascii="Times New Roman" w:hAnsi="Times New Roman" w:cs="Times New Roman"/>
        </w:rPr>
        <w:t xml:space="preserve"> does not entertain such assumptions and let the market to decide the energy mix. </w:t>
      </w:r>
    </w:p>
    <w:p w14:paraId="4747B62C" w14:textId="7B734C8F" w:rsidR="00251313" w:rsidRPr="00DD0523" w:rsidRDefault="00251313" w:rsidP="009F3AED">
      <w:pPr>
        <w:spacing w:after="0"/>
        <w:jc w:val="both"/>
        <w:rPr>
          <w:rFonts w:ascii="Times New Roman" w:hAnsi="Times New Roman" w:cs="Times New Roman"/>
          <w:b/>
        </w:rPr>
      </w:pPr>
      <w:r w:rsidRPr="00DD0523">
        <w:rPr>
          <w:rFonts w:ascii="Times New Roman" w:hAnsi="Times New Roman" w:cs="Times New Roman"/>
          <w:b/>
        </w:rPr>
        <w:t>Table 1. Total energy supply (</w:t>
      </w:r>
      <w:r w:rsidR="005E2B14" w:rsidRPr="00DD0523">
        <w:rPr>
          <w:rFonts w:ascii="Times New Roman" w:hAnsi="Times New Roman" w:cs="Times New Roman"/>
          <w:b/>
        </w:rPr>
        <w:t>m</w:t>
      </w:r>
      <w:r w:rsidRPr="00DD0523">
        <w:rPr>
          <w:rFonts w:ascii="Times New Roman" w:hAnsi="Times New Roman" w:cs="Times New Roman"/>
          <w:b/>
        </w:rPr>
        <w:t>illion to</w:t>
      </w:r>
      <w:r w:rsidR="005E2B14" w:rsidRPr="00DD0523">
        <w:rPr>
          <w:rFonts w:ascii="Times New Roman" w:hAnsi="Times New Roman" w:cs="Times New Roman"/>
          <w:b/>
        </w:rPr>
        <w:t>ns of coal equivalent) and e</w:t>
      </w:r>
      <w:r w:rsidRPr="00DD0523">
        <w:rPr>
          <w:rFonts w:ascii="Times New Roman" w:hAnsi="Times New Roman" w:cs="Times New Roman"/>
          <w:b/>
        </w:rPr>
        <w:t xml:space="preserve">nergy supply mix (%)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37"/>
        <w:gridCol w:w="2077"/>
        <w:gridCol w:w="1730"/>
        <w:gridCol w:w="1888"/>
        <w:gridCol w:w="1795"/>
      </w:tblGrid>
      <w:tr w:rsidR="005E2B14" w:rsidRPr="00DD0523" w14:paraId="7316C2EF" w14:textId="77777777" w:rsidTr="00375529">
        <w:tc>
          <w:tcPr>
            <w:tcW w:w="1705" w:type="dxa"/>
          </w:tcPr>
          <w:p w14:paraId="486B611C" w14:textId="0A4EE751" w:rsidR="005E2B14" w:rsidRPr="00DD0523" w:rsidRDefault="005E2B14" w:rsidP="00375529">
            <w:pPr>
              <w:spacing w:after="0"/>
              <w:jc w:val="center"/>
              <w:rPr>
                <w:rFonts w:ascii="Times New Roman" w:hAnsi="Times New Roman" w:cs="Times New Roman"/>
              </w:rPr>
            </w:pPr>
            <w:r w:rsidRPr="00DD0523">
              <w:rPr>
                <w:rFonts w:ascii="Times New Roman" w:hAnsi="Times New Roman" w:cs="Times New Roman"/>
              </w:rPr>
              <w:t>Energy type</w:t>
            </w:r>
          </w:p>
        </w:tc>
        <w:tc>
          <w:tcPr>
            <w:tcW w:w="4320" w:type="dxa"/>
            <w:gridSpan w:val="2"/>
          </w:tcPr>
          <w:p w14:paraId="7C70ED0C" w14:textId="7AD9B790" w:rsidR="005E2B14" w:rsidRPr="00DD0523" w:rsidRDefault="005E2B14" w:rsidP="00375529">
            <w:pPr>
              <w:spacing w:after="0"/>
              <w:jc w:val="center"/>
              <w:rPr>
                <w:rFonts w:ascii="Times New Roman" w:hAnsi="Times New Roman" w:cs="Times New Roman"/>
              </w:rPr>
            </w:pPr>
            <w:r w:rsidRPr="00DD0523">
              <w:rPr>
                <w:rFonts w:ascii="Times New Roman" w:hAnsi="Times New Roman" w:cs="Times New Roman"/>
              </w:rPr>
              <w:t>TIMES Bottom-UP Methodology for Energy Demand Forecast</w:t>
            </w:r>
          </w:p>
        </w:tc>
        <w:tc>
          <w:tcPr>
            <w:tcW w:w="4158" w:type="dxa"/>
            <w:gridSpan w:val="2"/>
          </w:tcPr>
          <w:p w14:paraId="093C8DC0" w14:textId="1BDA725F" w:rsidR="005E2B14" w:rsidRPr="00DD0523" w:rsidRDefault="005E2B14" w:rsidP="00375529">
            <w:pPr>
              <w:spacing w:after="0"/>
              <w:jc w:val="center"/>
              <w:rPr>
                <w:rFonts w:ascii="Times New Roman" w:hAnsi="Times New Roman" w:cs="Times New Roman"/>
              </w:rPr>
            </w:pPr>
            <w:r w:rsidRPr="00DD0523">
              <w:rPr>
                <w:rFonts w:ascii="Times New Roman" w:hAnsi="Times New Roman" w:cs="Times New Roman"/>
              </w:rPr>
              <w:t>CGE Model based Energy Demand Forecast</w:t>
            </w:r>
          </w:p>
        </w:tc>
      </w:tr>
      <w:tr w:rsidR="00251313" w:rsidRPr="00DD0523" w14:paraId="67AFC9B8" w14:textId="77777777" w:rsidTr="00375529">
        <w:trPr>
          <w:trHeight w:val="341"/>
        </w:trPr>
        <w:tc>
          <w:tcPr>
            <w:tcW w:w="1705" w:type="dxa"/>
          </w:tcPr>
          <w:p w14:paraId="4B412FE7" w14:textId="77777777" w:rsidR="00251313" w:rsidRPr="00DD0523" w:rsidRDefault="00251313" w:rsidP="005E2B14">
            <w:pPr>
              <w:spacing w:after="0"/>
              <w:jc w:val="center"/>
              <w:rPr>
                <w:rFonts w:ascii="Times New Roman" w:hAnsi="Times New Roman" w:cs="Times New Roman"/>
              </w:rPr>
            </w:pPr>
          </w:p>
        </w:tc>
        <w:tc>
          <w:tcPr>
            <w:tcW w:w="2367" w:type="dxa"/>
          </w:tcPr>
          <w:p w14:paraId="1ED78C1C" w14:textId="77F8FC61" w:rsidR="00251313" w:rsidRPr="00DD0523" w:rsidRDefault="00251313" w:rsidP="005E2B14">
            <w:pPr>
              <w:spacing w:after="0"/>
              <w:jc w:val="center"/>
              <w:rPr>
                <w:rFonts w:ascii="Times New Roman" w:hAnsi="Times New Roman" w:cs="Times New Roman"/>
              </w:rPr>
            </w:pPr>
            <w:r w:rsidRPr="00DD0523">
              <w:rPr>
                <w:rFonts w:ascii="Times New Roman" w:hAnsi="Times New Roman" w:cs="Times New Roman"/>
              </w:rPr>
              <w:t>Reference scenario</w:t>
            </w:r>
          </w:p>
        </w:tc>
        <w:tc>
          <w:tcPr>
            <w:tcW w:w="1953" w:type="dxa"/>
          </w:tcPr>
          <w:p w14:paraId="4E26C3D2" w14:textId="59C475BD" w:rsidR="00251313" w:rsidRPr="00DD0523" w:rsidRDefault="005E2B14" w:rsidP="005E2B14">
            <w:pPr>
              <w:spacing w:after="0"/>
              <w:jc w:val="center"/>
              <w:rPr>
                <w:rFonts w:ascii="Times New Roman" w:hAnsi="Times New Roman" w:cs="Times New Roman"/>
              </w:rPr>
            </w:pPr>
            <w:r w:rsidRPr="00DD0523">
              <w:rPr>
                <w:rFonts w:ascii="Times New Roman" w:hAnsi="Times New Roman" w:cs="Times New Roman"/>
              </w:rPr>
              <w:t>NDC Scenario</w:t>
            </w:r>
          </w:p>
        </w:tc>
        <w:tc>
          <w:tcPr>
            <w:tcW w:w="2121" w:type="dxa"/>
          </w:tcPr>
          <w:p w14:paraId="40332B3A" w14:textId="1711448F" w:rsidR="00251313" w:rsidRPr="00DD0523" w:rsidRDefault="005E2B14" w:rsidP="005E2B14">
            <w:pPr>
              <w:spacing w:after="0"/>
              <w:jc w:val="center"/>
              <w:rPr>
                <w:rFonts w:ascii="Times New Roman" w:hAnsi="Times New Roman" w:cs="Times New Roman"/>
              </w:rPr>
            </w:pPr>
            <w:r w:rsidRPr="00DD0523">
              <w:rPr>
                <w:rFonts w:ascii="Times New Roman" w:hAnsi="Times New Roman" w:cs="Times New Roman"/>
              </w:rPr>
              <w:t>Reference scenario</w:t>
            </w:r>
          </w:p>
        </w:tc>
        <w:tc>
          <w:tcPr>
            <w:tcW w:w="2037" w:type="dxa"/>
          </w:tcPr>
          <w:p w14:paraId="060E250B" w14:textId="4D6E3BEA" w:rsidR="00251313" w:rsidRPr="00DD0523" w:rsidRDefault="005E2B14" w:rsidP="005E2B14">
            <w:pPr>
              <w:spacing w:after="0"/>
              <w:jc w:val="center"/>
              <w:rPr>
                <w:rFonts w:ascii="Times New Roman" w:hAnsi="Times New Roman" w:cs="Times New Roman"/>
              </w:rPr>
            </w:pPr>
            <w:r w:rsidRPr="00DD0523">
              <w:rPr>
                <w:rFonts w:ascii="Times New Roman" w:hAnsi="Times New Roman" w:cs="Times New Roman"/>
              </w:rPr>
              <w:t>NDC Scenario</w:t>
            </w:r>
          </w:p>
        </w:tc>
      </w:tr>
      <w:tr w:rsidR="005E2B14" w:rsidRPr="00DD0523" w14:paraId="6E8D9C84" w14:textId="77777777" w:rsidTr="00375529">
        <w:tc>
          <w:tcPr>
            <w:tcW w:w="10183" w:type="dxa"/>
            <w:gridSpan w:val="5"/>
          </w:tcPr>
          <w:p w14:paraId="770AA5F5" w14:textId="10455700" w:rsidR="005E2B14" w:rsidRPr="00DD0523" w:rsidRDefault="005E2B14" w:rsidP="005E2B14">
            <w:pPr>
              <w:spacing w:after="0"/>
              <w:jc w:val="center"/>
              <w:rPr>
                <w:rFonts w:ascii="Times New Roman" w:hAnsi="Times New Roman" w:cs="Times New Roman"/>
              </w:rPr>
            </w:pPr>
            <w:bookmarkStart w:id="3" w:name="_Hlk532390487"/>
            <w:r w:rsidRPr="00DD0523">
              <w:rPr>
                <w:rFonts w:ascii="Times New Roman" w:hAnsi="Times New Roman" w:cs="Times New Roman"/>
              </w:rPr>
              <w:t>Total energy supply (Million tons of coal equivalent) in 2030</w:t>
            </w:r>
          </w:p>
        </w:tc>
      </w:tr>
      <w:bookmarkEnd w:id="3"/>
      <w:tr w:rsidR="00375529" w:rsidRPr="00DD0523" w14:paraId="7E3E8799" w14:textId="77777777" w:rsidTr="00375529">
        <w:tc>
          <w:tcPr>
            <w:tcW w:w="1705" w:type="dxa"/>
          </w:tcPr>
          <w:p w14:paraId="49BA5F2D" w14:textId="77777777" w:rsidR="00375529" w:rsidRPr="00DD0523" w:rsidRDefault="00375529" w:rsidP="00375529">
            <w:pPr>
              <w:spacing w:after="0"/>
              <w:jc w:val="right"/>
              <w:rPr>
                <w:rFonts w:ascii="Times New Roman" w:hAnsi="Times New Roman" w:cs="Times New Roman"/>
              </w:rPr>
            </w:pPr>
          </w:p>
        </w:tc>
        <w:tc>
          <w:tcPr>
            <w:tcW w:w="2367" w:type="dxa"/>
          </w:tcPr>
          <w:p w14:paraId="0DE2187E" w14:textId="40EB1DA1"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6,123</w:t>
            </w:r>
          </w:p>
        </w:tc>
        <w:tc>
          <w:tcPr>
            <w:tcW w:w="1953" w:type="dxa"/>
          </w:tcPr>
          <w:p w14:paraId="35D256C4" w14:textId="16DC7E89"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5,860</w:t>
            </w:r>
          </w:p>
        </w:tc>
        <w:tc>
          <w:tcPr>
            <w:tcW w:w="2121" w:type="dxa"/>
          </w:tcPr>
          <w:p w14:paraId="6157717F" w14:textId="34229AD4"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7,447</w:t>
            </w:r>
          </w:p>
        </w:tc>
        <w:tc>
          <w:tcPr>
            <w:tcW w:w="2037" w:type="dxa"/>
          </w:tcPr>
          <w:p w14:paraId="72A9FC3C" w14:textId="2E9A7BF3"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6,284</w:t>
            </w:r>
          </w:p>
        </w:tc>
      </w:tr>
      <w:tr w:rsidR="005E2B14" w:rsidRPr="00DD0523" w14:paraId="50BAAF2E" w14:textId="77777777" w:rsidTr="00375529">
        <w:tc>
          <w:tcPr>
            <w:tcW w:w="10183" w:type="dxa"/>
            <w:gridSpan w:val="5"/>
          </w:tcPr>
          <w:p w14:paraId="678ABE7D" w14:textId="7EC9CCA4" w:rsidR="005E2B14" w:rsidRPr="00DD0523" w:rsidRDefault="005E2B14" w:rsidP="00005483">
            <w:pPr>
              <w:spacing w:after="0"/>
              <w:jc w:val="center"/>
              <w:rPr>
                <w:rFonts w:ascii="Times New Roman" w:hAnsi="Times New Roman" w:cs="Times New Roman"/>
              </w:rPr>
            </w:pPr>
            <w:r w:rsidRPr="00DD0523">
              <w:rPr>
                <w:rFonts w:ascii="Times New Roman" w:hAnsi="Times New Roman" w:cs="Times New Roman"/>
              </w:rPr>
              <w:t>Energy supply mix in 2030</w:t>
            </w:r>
          </w:p>
        </w:tc>
      </w:tr>
      <w:tr w:rsidR="00375529" w:rsidRPr="00DD0523" w14:paraId="6E807772" w14:textId="77777777" w:rsidTr="00375529">
        <w:tc>
          <w:tcPr>
            <w:tcW w:w="1705" w:type="dxa"/>
          </w:tcPr>
          <w:p w14:paraId="3FE4F7E3" w14:textId="55105923"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Coal</w:t>
            </w:r>
          </w:p>
        </w:tc>
        <w:tc>
          <w:tcPr>
            <w:tcW w:w="2367" w:type="dxa"/>
          </w:tcPr>
          <w:p w14:paraId="4E068A51" w14:textId="4453F9F5"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46.1%</w:t>
            </w:r>
          </w:p>
        </w:tc>
        <w:tc>
          <w:tcPr>
            <w:tcW w:w="1953" w:type="dxa"/>
          </w:tcPr>
          <w:p w14:paraId="6BF530DF" w14:textId="64A9070A"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40.2%</w:t>
            </w:r>
          </w:p>
        </w:tc>
        <w:tc>
          <w:tcPr>
            <w:tcW w:w="2121" w:type="dxa"/>
          </w:tcPr>
          <w:p w14:paraId="3860C6FC" w14:textId="5062F83E"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60.0%</w:t>
            </w:r>
          </w:p>
        </w:tc>
        <w:tc>
          <w:tcPr>
            <w:tcW w:w="2037" w:type="dxa"/>
          </w:tcPr>
          <w:p w14:paraId="73BE81A4" w14:textId="7FDA4C8B"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49.6%</w:t>
            </w:r>
          </w:p>
        </w:tc>
      </w:tr>
      <w:tr w:rsidR="00375529" w:rsidRPr="00DD0523" w14:paraId="1AC030E5" w14:textId="77777777" w:rsidTr="00375529">
        <w:tc>
          <w:tcPr>
            <w:tcW w:w="1705" w:type="dxa"/>
          </w:tcPr>
          <w:p w14:paraId="51734ED1" w14:textId="6F38812F"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Oil</w:t>
            </w:r>
          </w:p>
        </w:tc>
        <w:tc>
          <w:tcPr>
            <w:tcW w:w="2367" w:type="dxa"/>
          </w:tcPr>
          <w:p w14:paraId="4FA39240" w14:textId="437FFF12"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7.0%</w:t>
            </w:r>
          </w:p>
        </w:tc>
        <w:tc>
          <w:tcPr>
            <w:tcW w:w="1953" w:type="dxa"/>
          </w:tcPr>
          <w:p w14:paraId="512E716C" w14:textId="206939B8"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7.8%</w:t>
            </w:r>
          </w:p>
        </w:tc>
        <w:tc>
          <w:tcPr>
            <w:tcW w:w="2121" w:type="dxa"/>
          </w:tcPr>
          <w:p w14:paraId="7DC223B5" w14:textId="74B77185"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14.7%</w:t>
            </w:r>
          </w:p>
        </w:tc>
        <w:tc>
          <w:tcPr>
            <w:tcW w:w="2037" w:type="dxa"/>
          </w:tcPr>
          <w:p w14:paraId="1BE0D10A" w14:textId="3C8AF36D"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10.4%</w:t>
            </w:r>
          </w:p>
        </w:tc>
      </w:tr>
      <w:tr w:rsidR="00375529" w:rsidRPr="00DD0523" w14:paraId="13610D95" w14:textId="77777777" w:rsidTr="00375529">
        <w:tc>
          <w:tcPr>
            <w:tcW w:w="1705" w:type="dxa"/>
          </w:tcPr>
          <w:p w14:paraId="5A2086E0" w14:textId="65C0D05F"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Gas</w:t>
            </w:r>
          </w:p>
        </w:tc>
        <w:tc>
          <w:tcPr>
            <w:tcW w:w="2367" w:type="dxa"/>
          </w:tcPr>
          <w:p w14:paraId="2CE3165E" w14:textId="7FD81C0F"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25.6%</w:t>
            </w:r>
          </w:p>
        </w:tc>
        <w:tc>
          <w:tcPr>
            <w:tcW w:w="1953" w:type="dxa"/>
          </w:tcPr>
          <w:p w14:paraId="1EDDE992" w14:textId="20B971F3"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27.1%</w:t>
            </w:r>
          </w:p>
        </w:tc>
        <w:tc>
          <w:tcPr>
            <w:tcW w:w="2121" w:type="dxa"/>
          </w:tcPr>
          <w:p w14:paraId="42563C36" w14:textId="39A97D08"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10.1%</w:t>
            </w:r>
          </w:p>
        </w:tc>
        <w:tc>
          <w:tcPr>
            <w:tcW w:w="2037" w:type="dxa"/>
          </w:tcPr>
          <w:p w14:paraId="0150C9F9" w14:textId="362E6CFB"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18.9%</w:t>
            </w:r>
          </w:p>
        </w:tc>
      </w:tr>
      <w:tr w:rsidR="00375529" w:rsidRPr="00DD0523" w14:paraId="110E8F5C" w14:textId="77777777" w:rsidTr="00375529">
        <w:tc>
          <w:tcPr>
            <w:tcW w:w="1705" w:type="dxa"/>
          </w:tcPr>
          <w:p w14:paraId="0D52C27C" w14:textId="3106C6B9"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Nuclear</w:t>
            </w:r>
          </w:p>
        </w:tc>
        <w:tc>
          <w:tcPr>
            <w:tcW w:w="2367" w:type="dxa"/>
          </w:tcPr>
          <w:p w14:paraId="3AFBB440" w14:textId="05552C8E"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8.4%</w:t>
            </w:r>
          </w:p>
        </w:tc>
        <w:tc>
          <w:tcPr>
            <w:tcW w:w="1953" w:type="dxa"/>
          </w:tcPr>
          <w:p w14:paraId="653EC8FC" w14:textId="2F9AFCAF"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11.1%</w:t>
            </w:r>
          </w:p>
        </w:tc>
        <w:tc>
          <w:tcPr>
            <w:tcW w:w="2121" w:type="dxa"/>
          </w:tcPr>
          <w:p w14:paraId="34B169E1" w14:textId="2E17A131"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4.0%</w:t>
            </w:r>
          </w:p>
        </w:tc>
        <w:tc>
          <w:tcPr>
            <w:tcW w:w="2037" w:type="dxa"/>
          </w:tcPr>
          <w:p w14:paraId="153799A8" w14:textId="5B8F9DA1"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6.2%</w:t>
            </w:r>
          </w:p>
        </w:tc>
      </w:tr>
      <w:tr w:rsidR="00375529" w:rsidRPr="00DD0523" w14:paraId="1FCFB7B6" w14:textId="77777777" w:rsidTr="00375529">
        <w:tc>
          <w:tcPr>
            <w:tcW w:w="1705" w:type="dxa"/>
          </w:tcPr>
          <w:p w14:paraId="769E8147" w14:textId="6C02647F"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Hydro</w:t>
            </w:r>
          </w:p>
        </w:tc>
        <w:tc>
          <w:tcPr>
            <w:tcW w:w="2367" w:type="dxa"/>
          </w:tcPr>
          <w:p w14:paraId="39D27E39" w14:textId="67DC88C8"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4.3%</w:t>
            </w:r>
          </w:p>
        </w:tc>
        <w:tc>
          <w:tcPr>
            <w:tcW w:w="1953" w:type="dxa"/>
          </w:tcPr>
          <w:p w14:paraId="5B412D3E" w14:textId="12785E3D"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3.8%</w:t>
            </w:r>
          </w:p>
        </w:tc>
        <w:tc>
          <w:tcPr>
            <w:tcW w:w="2121" w:type="dxa"/>
          </w:tcPr>
          <w:p w14:paraId="6E7189DF" w14:textId="2F9F189C"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2.5%</w:t>
            </w:r>
          </w:p>
        </w:tc>
        <w:tc>
          <w:tcPr>
            <w:tcW w:w="2037" w:type="dxa"/>
          </w:tcPr>
          <w:p w14:paraId="14C334DD" w14:textId="057FDA76"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4.1%</w:t>
            </w:r>
          </w:p>
        </w:tc>
      </w:tr>
      <w:tr w:rsidR="00375529" w:rsidRPr="00DD0523" w14:paraId="60810C81" w14:textId="77777777" w:rsidTr="00375529">
        <w:tc>
          <w:tcPr>
            <w:tcW w:w="1705" w:type="dxa"/>
          </w:tcPr>
          <w:p w14:paraId="7EC78825" w14:textId="32D64C4E"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Biomass</w:t>
            </w:r>
          </w:p>
        </w:tc>
        <w:tc>
          <w:tcPr>
            <w:tcW w:w="2367" w:type="dxa"/>
          </w:tcPr>
          <w:p w14:paraId="47BEFB23" w14:textId="2EC40E1F"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2.3%</w:t>
            </w:r>
          </w:p>
        </w:tc>
        <w:tc>
          <w:tcPr>
            <w:tcW w:w="1953" w:type="dxa"/>
          </w:tcPr>
          <w:p w14:paraId="04B545C2" w14:textId="325E8B70"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1.8%</w:t>
            </w:r>
          </w:p>
        </w:tc>
        <w:tc>
          <w:tcPr>
            <w:tcW w:w="2121" w:type="dxa"/>
          </w:tcPr>
          <w:p w14:paraId="3941E75D" w14:textId="14ECA6C7"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4.0%</w:t>
            </w:r>
          </w:p>
        </w:tc>
        <w:tc>
          <w:tcPr>
            <w:tcW w:w="2037" w:type="dxa"/>
          </w:tcPr>
          <w:p w14:paraId="3055A3FE" w14:textId="55C6E5D3"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3.5%</w:t>
            </w:r>
          </w:p>
        </w:tc>
      </w:tr>
      <w:tr w:rsidR="00375529" w:rsidRPr="00DD0523" w14:paraId="1C1D699B" w14:textId="77777777" w:rsidTr="00375529">
        <w:tc>
          <w:tcPr>
            <w:tcW w:w="1705" w:type="dxa"/>
          </w:tcPr>
          <w:p w14:paraId="51C9AAC5" w14:textId="623A2307"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Wind</w:t>
            </w:r>
          </w:p>
        </w:tc>
        <w:tc>
          <w:tcPr>
            <w:tcW w:w="2367" w:type="dxa"/>
          </w:tcPr>
          <w:p w14:paraId="40A935B6" w14:textId="701808CC"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3.0%</w:t>
            </w:r>
          </w:p>
        </w:tc>
        <w:tc>
          <w:tcPr>
            <w:tcW w:w="1953" w:type="dxa"/>
          </w:tcPr>
          <w:p w14:paraId="367E6168" w14:textId="65167464"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3.2%</w:t>
            </w:r>
          </w:p>
        </w:tc>
        <w:tc>
          <w:tcPr>
            <w:tcW w:w="2121" w:type="dxa"/>
          </w:tcPr>
          <w:p w14:paraId="296BA7E7" w14:textId="4A6BBF12"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1.1%</w:t>
            </w:r>
          </w:p>
        </w:tc>
        <w:tc>
          <w:tcPr>
            <w:tcW w:w="2037" w:type="dxa"/>
          </w:tcPr>
          <w:p w14:paraId="22150995" w14:textId="228DF334"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2.2%</w:t>
            </w:r>
          </w:p>
        </w:tc>
      </w:tr>
      <w:tr w:rsidR="00375529" w:rsidRPr="00DD0523" w14:paraId="0819590D" w14:textId="77777777" w:rsidTr="00375529">
        <w:tc>
          <w:tcPr>
            <w:tcW w:w="1705" w:type="dxa"/>
          </w:tcPr>
          <w:p w14:paraId="2F6915EF" w14:textId="6B5EA373" w:rsidR="00375529" w:rsidRPr="00DD0523" w:rsidRDefault="00375529" w:rsidP="00375529">
            <w:pPr>
              <w:spacing w:after="0"/>
              <w:jc w:val="both"/>
              <w:rPr>
                <w:rFonts w:ascii="Times New Roman" w:hAnsi="Times New Roman" w:cs="Times New Roman"/>
              </w:rPr>
            </w:pPr>
            <w:r w:rsidRPr="00DD0523">
              <w:rPr>
                <w:rFonts w:ascii="Times New Roman" w:hAnsi="Times New Roman" w:cs="Times New Roman"/>
              </w:rPr>
              <w:t>Solar</w:t>
            </w:r>
          </w:p>
        </w:tc>
        <w:tc>
          <w:tcPr>
            <w:tcW w:w="2367" w:type="dxa"/>
          </w:tcPr>
          <w:p w14:paraId="6D7B3542" w14:textId="297C0AF4"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3.4%</w:t>
            </w:r>
          </w:p>
        </w:tc>
        <w:tc>
          <w:tcPr>
            <w:tcW w:w="1953" w:type="dxa"/>
          </w:tcPr>
          <w:p w14:paraId="2AB7111A" w14:textId="16BCF854"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4.9%</w:t>
            </w:r>
          </w:p>
        </w:tc>
        <w:tc>
          <w:tcPr>
            <w:tcW w:w="2121" w:type="dxa"/>
          </w:tcPr>
          <w:p w14:paraId="4C17CA1E" w14:textId="3AB7C751"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0.6%</w:t>
            </w:r>
          </w:p>
        </w:tc>
        <w:tc>
          <w:tcPr>
            <w:tcW w:w="2037" w:type="dxa"/>
          </w:tcPr>
          <w:p w14:paraId="47B1B92A" w14:textId="37663575" w:rsidR="00375529" w:rsidRPr="00DD0523" w:rsidRDefault="00375529" w:rsidP="00375529">
            <w:pPr>
              <w:spacing w:after="0"/>
              <w:jc w:val="right"/>
              <w:rPr>
                <w:rFonts w:ascii="Times New Roman" w:hAnsi="Times New Roman" w:cs="Times New Roman"/>
              </w:rPr>
            </w:pPr>
            <w:r w:rsidRPr="00DD0523">
              <w:rPr>
                <w:rFonts w:ascii="Times New Roman" w:hAnsi="Times New Roman" w:cs="Times New Roman"/>
              </w:rPr>
              <w:t>2.1%</w:t>
            </w:r>
          </w:p>
        </w:tc>
      </w:tr>
    </w:tbl>
    <w:p w14:paraId="069D327D" w14:textId="77777777" w:rsidR="00251313" w:rsidRPr="00DD0523" w:rsidRDefault="00251313" w:rsidP="009F3AED">
      <w:pPr>
        <w:spacing w:after="0"/>
        <w:jc w:val="both"/>
        <w:rPr>
          <w:rFonts w:ascii="Times New Roman" w:hAnsi="Times New Roman" w:cs="Times New Roman"/>
        </w:rPr>
      </w:pPr>
    </w:p>
    <w:p w14:paraId="1C5F080A" w14:textId="50A8896F" w:rsidR="006C5A52" w:rsidRPr="00DD0523" w:rsidRDefault="000E013B" w:rsidP="009F3AED">
      <w:pPr>
        <w:spacing w:after="0"/>
        <w:jc w:val="both"/>
        <w:rPr>
          <w:rFonts w:ascii="Times New Roman" w:hAnsi="Times New Roman" w:cs="Times New Roman"/>
        </w:rPr>
      </w:pPr>
      <w:r w:rsidRPr="00DD0523">
        <w:rPr>
          <w:rFonts w:ascii="Times New Roman" w:hAnsi="Times New Roman" w:cs="Times New Roman"/>
        </w:rPr>
        <w:t xml:space="preserve">The </w:t>
      </w:r>
      <w:r w:rsidR="00035368" w:rsidRPr="00DD0523">
        <w:rPr>
          <w:rFonts w:ascii="Times New Roman" w:hAnsi="Times New Roman" w:cs="Times New Roman"/>
        </w:rPr>
        <w:t xml:space="preserve">reduction of total energy supply under the NDC scenario is much higher in Case 2 as compared to that in Case 1. The primary reason is that the economic model (i.e., CGE model) in Case 2 considers pricing effects (i.e., energy demand drops as price increases), the model under Case 1 uses an engineering </w:t>
      </w:r>
      <w:r w:rsidR="006C5A52" w:rsidRPr="00DD0523">
        <w:rPr>
          <w:rFonts w:ascii="Times New Roman" w:hAnsi="Times New Roman" w:cs="Times New Roman"/>
        </w:rPr>
        <w:t xml:space="preserve">approach which is not capable to account for pricing effect. This is the fundamental difference between an economic and engineering technique used for policy analysis. </w:t>
      </w:r>
    </w:p>
    <w:p w14:paraId="6CAD4C40" w14:textId="77777777" w:rsidR="00D27B1D" w:rsidRPr="00DD0523" w:rsidRDefault="00D27B1D" w:rsidP="009F3AED">
      <w:pPr>
        <w:spacing w:after="0"/>
        <w:jc w:val="both"/>
        <w:rPr>
          <w:rFonts w:ascii="Times New Roman" w:hAnsi="Times New Roman" w:cs="Times New Roman"/>
        </w:rPr>
      </w:pPr>
    </w:p>
    <w:p w14:paraId="67FA318E" w14:textId="3B7D4A80" w:rsidR="00C05090" w:rsidRPr="00DD0523" w:rsidRDefault="003D3F29" w:rsidP="00B45C64">
      <w:pPr>
        <w:pStyle w:val="Heading1"/>
        <w:spacing w:before="0" w:after="0"/>
        <w:jc w:val="both"/>
        <w:rPr>
          <w:rFonts w:ascii="Times New Roman" w:hAnsi="Times New Roman"/>
          <w:b w:val="0"/>
          <w:sz w:val="22"/>
          <w:szCs w:val="22"/>
        </w:rPr>
      </w:pPr>
      <w:r w:rsidRPr="00DD0523">
        <w:rPr>
          <w:rFonts w:ascii="Times New Roman" w:hAnsi="Times New Roman"/>
          <w:sz w:val="22"/>
          <w:szCs w:val="22"/>
        </w:rPr>
        <w:t>Conclusions:</w:t>
      </w:r>
      <w:r w:rsidR="00D33A18" w:rsidRPr="00DD0523">
        <w:rPr>
          <w:rFonts w:ascii="Times New Roman" w:hAnsi="Times New Roman"/>
          <w:sz w:val="22"/>
          <w:szCs w:val="22"/>
        </w:rPr>
        <w:t xml:space="preserve"> </w:t>
      </w:r>
      <w:r w:rsidR="00D27B1D" w:rsidRPr="00DD0523">
        <w:rPr>
          <w:rFonts w:ascii="Times New Roman" w:hAnsi="Times New Roman"/>
          <w:b w:val="0"/>
          <w:sz w:val="22"/>
          <w:szCs w:val="22"/>
        </w:rPr>
        <w:t xml:space="preserve">Meeting China’s pledges under the Paris Agreement would have significant impacts on China’s energy supply mix. However, the estimations of the changes in total energy supply and supply-mix highly </w:t>
      </w:r>
      <w:r w:rsidR="00D3331D" w:rsidRPr="00DD0523">
        <w:rPr>
          <w:rFonts w:ascii="Times New Roman" w:hAnsi="Times New Roman"/>
          <w:b w:val="0"/>
          <w:sz w:val="22"/>
          <w:szCs w:val="22"/>
        </w:rPr>
        <w:t xml:space="preserve">are </w:t>
      </w:r>
      <w:r w:rsidR="00D27B1D" w:rsidRPr="00DD0523">
        <w:rPr>
          <w:rFonts w:ascii="Times New Roman" w:hAnsi="Times New Roman"/>
          <w:b w:val="0"/>
          <w:sz w:val="22"/>
          <w:szCs w:val="22"/>
        </w:rPr>
        <w:t xml:space="preserve">sensitive to the assumptions to develop the baseline. If the baseline energy demand is forecasted based on the driving variables projected by a CGE model, that assumes </w:t>
      </w:r>
      <w:r w:rsidR="00D3331D" w:rsidRPr="00DD0523">
        <w:rPr>
          <w:rFonts w:ascii="Times New Roman" w:hAnsi="Times New Roman"/>
          <w:b w:val="0"/>
          <w:sz w:val="22"/>
          <w:szCs w:val="22"/>
        </w:rPr>
        <w:t xml:space="preserve">the </w:t>
      </w:r>
      <w:r w:rsidR="00D27B1D" w:rsidRPr="00DD0523">
        <w:rPr>
          <w:rFonts w:ascii="Times New Roman" w:hAnsi="Times New Roman"/>
          <w:b w:val="0"/>
          <w:sz w:val="22"/>
          <w:szCs w:val="22"/>
        </w:rPr>
        <w:t>status quo energy situation in 2030 in the absence of policy interventions</w:t>
      </w:r>
      <w:r w:rsidR="00067F70" w:rsidRPr="00DD0523">
        <w:rPr>
          <w:rFonts w:ascii="Times New Roman" w:hAnsi="Times New Roman"/>
          <w:b w:val="0"/>
          <w:sz w:val="22"/>
          <w:szCs w:val="22"/>
        </w:rPr>
        <w:t xml:space="preserve">, the baseline energy demand would be 20% higher than that forecasted by a simplified bottom-up approach. Since the bottom-up forecasts uses </w:t>
      </w:r>
      <w:r w:rsidR="00067F70" w:rsidRPr="00DD0523">
        <w:rPr>
          <w:rFonts w:ascii="Times New Roman" w:hAnsi="Times New Roman"/>
          <w:b w:val="0"/>
          <w:sz w:val="22"/>
          <w:szCs w:val="22"/>
        </w:rPr>
        <w:lastRenderedPageBreak/>
        <w:t>series of ad-hoc assumptions or expert judgements suggesting huge energy efficiency improvements and fuel substitutions without policy interventions, it would underestimate the baseline energy forecast</w:t>
      </w:r>
      <w:r w:rsidR="00D3331D" w:rsidRPr="00DD0523">
        <w:rPr>
          <w:rFonts w:ascii="Times New Roman" w:hAnsi="Times New Roman"/>
          <w:b w:val="0"/>
          <w:sz w:val="22"/>
          <w:szCs w:val="22"/>
        </w:rPr>
        <w:t>s</w:t>
      </w:r>
      <w:r w:rsidR="00067F70" w:rsidRPr="00DD0523">
        <w:rPr>
          <w:rFonts w:ascii="Times New Roman" w:hAnsi="Times New Roman"/>
          <w:b w:val="0"/>
          <w:sz w:val="22"/>
          <w:szCs w:val="22"/>
        </w:rPr>
        <w:t xml:space="preserve"> and required GHG mitigation to meet climate change mitigation targets. Therefore, an approach that links </w:t>
      </w:r>
      <w:r w:rsidR="00D3331D" w:rsidRPr="00DD0523">
        <w:rPr>
          <w:rFonts w:ascii="Times New Roman" w:hAnsi="Times New Roman"/>
          <w:b w:val="0"/>
          <w:sz w:val="22"/>
          <w:szCs w:val="22"/>
        </w:rPr>
        <w:t xml:space="preserve">a </w:t>
      </w:r>
      <w:r w:rsidR="00067F70" w:rsidRPr="00DD0523">
        <w:rPr>
          <w:rFonts w:ascii="Times New Roman" w:hAnsi="Times New Roman"/>
          <w:b w:val="0"/>
          <w:sz w:val="22"/>
          <w:szCs w:val="22"/>
        </w:rPr>
        <w:t>top-down CGE model</w:t>
      </w:r>
      <w:r w:rsidR="00D3331D" w:rsidRPr="00DD0523">
        <w:rPr>
          <w:rFonts w:ascii="Times New Roman" w:hAnsi="Times New Roman"/>
          <w:b w:val="0"/>
          <w:sz w:val="22"/>
          <w:szCs w:val="22"/>
        </w:rPr>
        <w:t xml:space="preserve"> with bottom-up TIMES model would be more appropriate for climate policy analysis. The top-down model forecasts the baseline </w:t>
      </w:r>
      <w:r w:rsidR="00C65982" w:rsidRPr="00DD0523">
        <w:rPr>
          <w:rFonts w:ascii="Times New Roman" w:hAnsi="Times New Roman"/>
          <w:b w:val="0"/>
          <w:sz w:val="22"/>
          <w:szCs w:val="22"/>
        </w:rPr>
        <w:t>energy demand (</w:t>
      </w:r>
      <w:r w:rsidR="00D3331D" w:rsidRPr="00DD0523">
        <w:rPr>
          <w:rFonts w:ascii="Times New Roman" w:hAnsi="Times New Roman"/>
          <w:b w:val="0"/>
          <w:sz w:val="22"/>
          <w:szCs w:val="22"/>
        </w:rPr>
        <w:t>and assess</w:t>
      </w:r>
      <w:r w:rsidR="00C65982" w:rsidRPr="00DD0523">
        <w:rPr>
          <w:rFonts w:ascii="Times New Roman" w:hAnsi="Times New Roman"/>
          <w:b w:val="0"/>
          <w:sz w:val="22"/>
          <w:szCs w:val="22"/>
        </w:rPr>
        <w:t>es</w:t>
      </w:r>
      <w:r w:rsidR="00D3331D" w:rsidRPr="00DD0523">
        <w:rPr>
          <w:rFonts w:ascii="Times New Roman" w:hAnsi="Times New Roman"/>
          <w:b w:val="0"/>
          <w:sz w:val="22"/>
          <w:szCs w:val="22"/>
        </w:rPr>
        <w:t xml:space="preserve"> the economy wide impacts of meeting the climate change mitigation targets</w:t>
      </w:r>
      <w:r w:rsidR="00C65982" w:rsidRPr="00DD0523">
        <w:rPr>
          <w:rFonts w:ascii="Times New Roman" w:hAnsi="Times New Roman"/>
          <w:b w:val="0"/>
          <w:sz w:val="22"/>
          <w:szCs w:val="22"/>
        </w:rPr>
        <w:t>)</w:t>
      </w:r>
      <w:r w:rsidR="00D3331D" w:rsidRPr="00DD0523">
        <w:rPr>
          <w:rFonts w:ascii="Times New Roman" w:hAnsi="Times New Roman"/>
          <w:b w:val="0"/>
          <w:sz w:val="22"/>
          <w:szCs w:val="22"/>
        </w:rPr>
        <w:t xml:space="preserve"> whereas the bottom-up model </w:t>
      </w:r>
      <w:r w:rsidR="00C65982" w:rsidRPr="00DD0523">
        <w:rPr>
          <w:rFonts w:ascii="Times New Roman" w:hAnsi="Times New Roman"/>
          <w:b w:val="0"/>
          <w:sz w:val="22"/>
          <w:szCs w:val="22"/>
        </w:rPr>
        <w:t>optimizes</w:t>
      </w:r>
      <w:r w:rsidR="00D3331D" w:rsidRPr="00DD0523">
        <w:rPr>
          <w:rFonts w:ascii="Times New Roman" w:hAnsi="Times New Roman"/>
          <w:b w:val="0"/>
          <w:sz w:val="22"/>
          <w:szCs w:val="22"/>
        </w:rPr>
        <w:t xml:space="preserve"> the energy sector </w:t>
      </w:r>
      <w:r w:rsidR="00C65982" w:rsidRPr="00DD0523">
        <w:rPr>
          <w:rFonts w:ascii="Times New Roman" w:hAnsi="Times New Roman"/>
          <w:b w:val="0"/>
          <w:sz w:val="22"/>
          <w:szCs w:val="22"/>
        </w:rPr>
        <w:t xml:space="preserve">meeting the mitigation targets reflecting the detailed technologies in the various stages of the energy supply chain. </w:t>
      </w:r>
    </w:p>
    <w:p w14:paraId="4678118C" w14:textId="5891AF2D" w:rsidR="003D3F29" w:rsidRPr="00DD0523" w:rsidRDefault="00D33A18" w:rsidP="009C7C3C">
      <w:pPr>
        <w:pStyle w:val="Heading1"/>
        <w:spacing w:before="0" w:after="0" w:line="240" w:lineRule="auto"/>
        <w:jc w:val="both"/>
        <w:rPr>
          <w:rFonts w:ascii="Times New Roman" w:hAnsi="Times New Roman"/>
          <w:b w:val="0"/>
          <w:sz w:val="22"/>
          <w:szCs w:val="22"/>
        </w:rPr>
      </w:pPr>
      <w:r w:rsidRPr="00DD0523">
        <w:rPr>
          <w:rFonts w:ascii="Times New Roman" w:hAnsi="Times New Roman"/>
          <w:b w:val="0"/>
          <w:sz w:val="22"/>
          <w:szCs w:val="22"/>
        </w:rPr>
        <w:t xml:space="preserve"> </w:t>
      </w:r>
      <w:r w:rsidR="003D3F29" w:rsidRPr="00DD0523">
        <w:rPr>
          <w:rFonts w:ascii="Times New Roman" w:hAnsi="Times New Roman"/>
          <w:b w:val="0"/>
          <w:sz w:val="22"/>
          <w:szCs w:val="22"/>
        </w:rPr>
        <w:t xml:space="preserve"> </w:t>
      </w:r>
    </w:p>
    <w:p w14:paraId="3FCB4F74" w14:textId="32A4AB3D" w:rsidR="00D771F8" w:rsidRPr="00DD0523" w:rsidRDefault="00D771F8" w:rsidP="006A0288">
      <w:pPr>
        <w:keepNext/>
        <w:spacing w:after="0"/>
        <w:ind w:left="720" w:hanging="720"/>
        <w:jc w:val="both"/>
        <w:rPr>
          <w:rFonts w:ascii="Times New Roman" w:hAnsi="Times New Roman" w:cs="Times New Roman"/>
          <w:b/>
        </w:rPr>
      </w:pPr>
      <w:r w:rsidRPr="00DD0523">
        <w:rPr>
          <w:rFonts w:ascii="Times New Roman" w:hAnsi="Times New Roman" w:cs="Times New Roman"/>
          <w:b/>
        </w:rPr>
        <w:t>Reference</w:t>
      </w:r>
      <w:r w:rsidR="00C05090" w:rsidRPr="00DD0523">
        <w:rPr>
          <w:rFonts w:ascii="Times New Roman" w:hAnsi="Times New Roman" w:cs="Times New Roman"/>
          <w:b/>
        </w:rPr>
        <w:t>s</w:t>
      </w:r>
    </w:p>
    <w:p w14:paraId="2BA1306D" w14:textId="77777777" w:rsidR="0026143F" w:rsidRPr="00DD0523" w:rsidRDefault="0026143F" w:rsidP="006A0288">
      <w:pPr>
        <w:keepNext/>
        <w:spacing w:after="0"/>
        <w:ind w:left="720" w:hanging="720"/>
        <w:jc w:val="both"/>
        <w:rPr>
          <w:rFonts w:ascii="Times New Roman" w:hAnsi="Times New Roman" w:cs="Times New Roman"/>
          <w:b/>
        </w:rPr>
      </w:pPr>
    </w:p>
    <w:p w14:paraId="5ABEE839" w14:textId="77777777" w:rsidR="0026143F" w:rsidRPr="00DD0523" w:rsidRDefault="0026143F" w:rsidP="007A2434">
      <w:pPr>
        <w:spacing w:after="0"/>
        <w:ind w:left="720" w:hanging="720"/>
        <w:jc w:val="both"/>
        <w:rPr>
          <w:rFonts w:ascii="Times New Roman" w:hAnsi="Times New Roman" w:cs="Times New Roman"/>
        </w:rPr>
      </w:pPr>
      <w:r w:rsidRPr="00DD0523">
        <w:rPr>
          <w:rFonts w:ascii="Times New Roman" w:hAnsi="Times New Roman" w:cs="Times New Roman"/>
        </w:rPr>
        <w:t xml:space="preserve">Cayla, Jean-Michel, and Nadia </w:t>
      </w:r>
      <w:proofErr w:type="spellStart"/>
      <w:r w:rsidRPr="00DD0523">
        <w:rPr>
          <w:rFonts w:ascii="Times New Roman" w:hAnsi="Times New Roman" w:cs="Times New Roman"/>
        </w:rPr>
        <w:t>Maïzi</w:t>
      </w:r>
      <w:proofErr w:type="spellEnd"/>
      <w:r w:rsidRPr="00DD0523">
        <w:rPr>
          <w:rFonts w:ascii="Times New Roman" w:hAnsi="Times New Roman" w:cs="Times New Roman"/>
        </w:rPr>
        <w:t xml:space="preserve">. 2015. “Integrating Household Behavior and Heterogeneity into the TIMES-Households Model.” </w:t>
      </w:r>
      <w:r w:rsidRPr="00DD0523">
        <w:rPr>
          <w:rFonts w:ascii="Times New Roman" w:hAnsi="Times New Roman" w:cs="Times New Roman"/>
          <w:i/>
          <w:iCs/>
        </w:rPr>
        <w:t xml:space="preserve">Applied Energy </w:t>
      </w:r>
      <w:r w:rsidRPr="00DD0523">
        <w:rPr>
          <w:rFonts w:ascii="Times New Roman" w:hAnsi="Times New Roman" w:cs="Times New Roman"/>
        </w:rPr>
        <w:t>139: 56–67.</w:t>
      </w:r>
      <w:r w:rsidRPr="00DD0523">
        <w:rPr>
          <w:rFonts w:ascii="Times New Roman" w:hAnsi="Times New Roman" w:cs="Times New Roman"/>
        </w:rPr>
        <w:br/>
      </w:r>
      <w:proofErr w:type="gramStart"/>
      <w:r w:rsidRPr="00DD0523">
        <w:rPr>
          <w:rFonts w:ascii="Times New Roman" w:hAnsi="Times New Roman" w:cs="Times New Roman"/>
        </w:rPr>
        <w:t>doi:10.1016/j.apenergy</w:t>
      </w:r>
      <w:proofErr w:type="gramEnd"/>
      <w:r w:rsidRPr="00DD0523">
        <w:rPr>
          <w:rFonts w:ascii="Times New Roman" w:hAnsi="Times New Roman" w:cs="Times New Roman"/>
        </w:rPr>
        <w:t>.2014.11.015.</w:t>
      </w:r>
    </w:p>
    <w:p w14:paraId="68DFACFE" w14:textId="77777777" w:rsidR="0026143F" w:rsidRPr="00DD0523" w:rsidRDefault="0026143F" w:rsidP="00C83AA2">
      <w:pPr>
        <w:spacing w:after="0"/>
        <w:ind w:left="720" w:hanging="720"/>
        <w:jc w:val="both"/>
        <w:rPr>
          <w:rFonts w:ascii="Times New Roman" w:hAnsi="Times New Roman" w:cs="Times New Roman"/>
        </w:rPr>
      </w:pPr>
      <w:r w:rsidRPr="00DD0523">
        <w:rPr>
          <w:rFonts w:ascii="Times New Roman" w:hAnsi="Times New Roman" w:cs="Times New Roman"/>
        </w:rPr>
        <w:t xml:space="preserve">Chen, </w:t>
      </w:r>
      <w:proofErr w:type="spellStart"/>
      <w:r w:rsidRPr="00DD0523">
        <w:rPr>
          <w:rFonts w:ascii="Times New Roman" w:hAnsi="Times New Roman" w:cs="Times New Roman"/>
        </w:rPr>
        <w:t>Wenying</w:t>
      </w:r>
      <w:proofErr w:type="spellEnd"/>
      <w:r w:rsidRPr="00DD0523">
        <w:rPr>
          <w:rFonts w:ascii="Times New Roman" w:hAnsi="Times New Roman" w:cs="Times New Roman"/>
        </w:rPr>
        <w:t xml:space="preserve">, Xiang Yin, and Ding Ma. 2014. “A Bottom-up Analysis of China’s Iron and Steel Industrial Energy Consumption and CO2 Emissions.” </w:t>
      </w:r>
      <w:r w:rsidRPr="00DD0523">
        <w:rPr>
          <w:rFonts w:ascii="Times New Roman" w:hAnsi="Times New Roman" w:cs="Times New Roman"/>
          <w:i/>
          <w:iCs/>
        </w:rPr>
        <w:t xml:space="preserve">Applied Energy </w:t>
      </w:r>
      <w:r w:rsidRPr="00DD0523">
        <w:rPr>
          <w:rFonts w:ascii="Times New Roman" w:hAnsi="Times New Roman" w:cs="Times New Roman"/>
        </w:rPr>
        <w:t>136: 1174–83.</w:t>
      </w:r>
      <w:r w:rsidRPr="00DD0523">
        <w:rPr>
          <w:rFonts w:ascii="Times New Roman" w:hAnsi="Times New Roman" w:cs="Times New Roman"/>
        </w:rPr>
        <w:br/>
      </w:r>
      <w:proofErr w:type="gramStart"/>
      <w:r w:rsidRPr="00DD0523">
        <w:rPr>
          <w:rFonts w:ascii="Times New Roman" w:hAnsi="Times New Roman" w:cs="Times New Roman"/>
        </w:rPr>
        <w:t>doi:10.1016/j.apenergy</w:t>
      </w:r>
      <w:proofErr w:type="gramEnd"/>
      <w:r w:rsidRPr="00DD0523">
        <w:rPr>
          <w:rFonts w:ascii="Times New Roman" w:hAnsi="Times New Roman" w:cs="Times New Roman"/>
        </w:rPr>
        <w:t>.2014.06.002.</w:t>
      </w:r>
    </w:p>
    <w:p w14:paraId="67FC87C1" w14:textId="77777777" w:rsidR="0026143F" w:rsidRPr="00DD0523" w:rsidRDefault="0026143F" w:rsidP="007A2434">
      <w:pPr>
        <w:spacing w:after="0"/>
        <w:ind w:left="720" w:hanging="720"/>
        <w:jc w:val="both"/>
        <w:rPr>
          <w:rFonts w:ascii="Times New Roman" w:hAnsi="Times New Roman" w:cs="Times New Roman"/>
        </w:rPr>
      </w:pPr>
      <w:r w:rsidRPr="00DD0523">
        <w:rPr>
          <w:rFonts w:ascii="Times New Roman" w:hAnsi="Times New Roman" w:cs="Times New Roman"/>
        </w:rPr>
        <w:t>Timilsina, Govinda R. and Erika Jorgensen (2018). The Economics of Greening Romania’s Energy Supply System. Mitigation and Adaptation Strategies for Global Change, Vol. 23, pp.123-144.</w:t>
      </w:r>
    </w:p>
    <w:p w14:paraId="5DF0DE23" w14:textId="77777777" w:rsidR="0026143F" w:rsidRPr="00DD0523" w:rsidRDefault="0026143F" w:rsidP="006A0288">
      <w:pPr>
        <w:spacing w:after="0"/>
        <w:ind w:left="720" w:hanging="720"/>
        <w:jc w:val="both"/>
        <w:rPr>
          <w:rFonts w:ascii="Times New Roman" w:hAnsi="Times New Roman" w:cs="Times New Roman"/>
        </w:rPr>
      </w:pPr>
      <w:r w:rsidRPr="00DD0523">
        <w:rPr>
          <w:rFonts w:ascii="Times New Roman" w:hAnsi="Times New Roman" w:cs="Times New Roman"/>
        </w:rPr>
        <w:t xml:space="preserve">United Nations Framework Convention on Climate Change (UNFCCC) (2015). Report of the Conference of the Parties on its nineteenth session, held in Paris from 30 November to 11 December 2015, Addendum Part Two: Action taken by the Conference of the Parties at its </w:t>
      </w:r>
      <w:proofErr w:type="gramStart"/>
      <w:r w:rsidRPr="00DD0523">
        <w:rPr>
          <w:rFonts w:ascii="Times New Roman" w:hAnsi="Times New Roman" w:cs="Times New Roman"/>
        </w:rPr>
        <w:t>Twenty One</w:t>
      </w:r>
      <w:proofErr w:type="gramEnd"/>
      <w:r w:rsidRPr="00DD0523">
        <w:rPr>
          <w:rFonts w:ascii="Times New Roman" w:hAnsi="Times New Roman" w:cs="Times New Roman"/>
        </w:rPr>
        <w:t xml:space="preserve"> session, UNFCCC, Bonn, Germany.</w:t>
      </w:r>
    </w:p>
    <w:sectPr w:rsidR="0026143F" w:rsidRPr="00DD0523" w:rsidSect="0074010A">
      <w:headerReference w:type="default" r:id="rId10"/>
      <w:footerReference w:type="default" r:id="rId11"/>
      <w:footerReference w:type="first" r:id="rId12"/>
      <w:type w:val="continuous"/>
      <w:pgSz w:w="11907" w:h="16839" w:code="9"/>
      <w:pgMar w:top="1440" w:right="144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123EB" w14:textId="77777777" w:rsidR="00CB4ECE" w:rsidRDefault="00CB4ECE" w:rsidP="00B60530">
      <w:pPr>
        <w:spacing w:after="0" w:line="240" w:lineRule="auto"/>
      </w:pPr>
      <w:r>
        <w:separator/>
      </w:r>
    </w:p>
  </w:endnote>
  <w:endnote w:type="continuationSeparator" w:id="0">
    <w:p w14:paraId="4133E746" w14:textId="77777777" w:rsidR="00CB4ECE" w:rsidRDefault="00CB4ECE" w:rsidP="00B60530">
      <w:pPr>
        <w:spacing w:after="0" w:line="240" w:lineRule="auto"/>
      </w:pPr>
      <w:r>
        <w:continuationSeparator/>
      </w:r>
    </w:p>
  </w:endnote>
  <w:endnote w:type="continuationNotice" w:id="1">
    <w:p w14:paraId="4737122F" w14:textId="77777777" w:rsidR="00CB4ECE" w:rsidRDefault="00CB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
    <w:altName w:val="MS Mincho"/>
    <w:panose1 w:val="00000000000000000000"/>
    <w:charset w:val="80"/>
    <w:family w:val="modern"/>
    <w:notTrueType/>
    <w:pitch w:val="fixed"/>
    <w:sig w:usb0="00000000"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B07C" w14:textId="48BE7F29" w:rsidR="00AB0AAB" w:rsidRDefault="00AB0AAB">
    <w:pPr>
      <w:pStyle w:val="Footer"/>
      <w:jc w:val="right"/>
    </w:pPr>
    <w:r>
      <w:fldChar w:fldCharType="begin"/>
    </w:r>
    <w:r>
      <w:instrText xml:space="preserve"> PAGE   \* MERGEFORMAT </w:instrText>
    </w:r>
    <w:r>
      <w:fldChar w:fldCharType="separate"/>
    </w:r>
    <w:r w:rsidR="006A0288">
      <w:rPr>
        <w:noProof/>
      </w:rPr>
      <w:t>2</w:t>
    </w:r>
    <w:r>
      <w:rPr>
        <w:noProof/>
      </w:rPr>
      <w:fldChar w:fldCharType="end"/>
    </w:r>
  </w:p>
  <w:p w14:paraId="4E023693" w14:textId="77777777" w:rsidR="00AB0AAB" w:rsidRDefault="00AB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1AED" w14:textId="6C7BB41F" w:rsidR="00AB0AAB" w:rsidRDefault="00AB0AAB" w:rsidP="00FD6DB4">
    <w:pPr>
      <w:pStyle w:val="Footer"/>
      <w:tabs>
        <w:tab w:val="left" w:pos="6135"/>
        <w:tab w:val="right" w:pos="10193"/>
      </w:tabs>
    </w:pPr>
    <w:r>
      <w:tab/>
    </w:r>
    <w:r>
      <w:tab/>
    </w:r>
    <w:r>
      <w:tab/>
    </w:r>
    <w:r>
      <w:tab/>
    </w:r>
    <w:r>
      <w:fldChar w:fldCharType="begin"/>
    </w:r>
    <w:r>
      <w:instrText>PAGE   \* MERGEFORMAT</w:instrText>
    </w:r>
    <w:r>
      <w:fldChar w:fldCharType="separate"/>
    </w:r>
    <w:r w:rsidR="006A0288">
      <w:rPr>
        <w:noProof/>
      </w:rPr>
      <w:t>1</w:t>
    </w:r>
    <w:r>
      <w:rPr>
        <w:noProof/>
        <w:lang w:val="uk-UA"/>
      </w:rPr>
      <w:fldChar w:fldCharType="end"/>
    </w:r>
  </w:p>
  <w:p w14:paraId="2112E0F3" w14:textId="77777777" w:rsidR="00AB0AAB" w:rsidRDefault="00AB0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5CFEB" w14:textId="77777777" w:rsidR="00CB4ECE" w:rsidRDefault="00CB4ECE" w:rsidP="00B60530">
      <w:pPr>
        <w:spacing w:after="0" w:line="240" w:lineRule="auto"/>
      </w:pPr>
      <w:r>
        <w:separator/>
      </w:r>
    </w:p>
  </w:footnote>
  <w:footnote w:type="continuationSeparator" w:id="0">
    <w:p w14:paraId="46C0A45D" w14:textId="77777777" w:rsidR="00CB4ECE" w:rsidRDefault="00CB4ECE" w:rsidP="00B60530">
      <w:pPr>
        <w:spacing w:after="0" w:line="240" w:lineRule="auto"/>
      </w:pPr>
      <w:r>
        <w:continuationSeparator/>
      </w:r>
    </w:p>
  </w:footnote>
  <w:footnote w:type="continuationNotice" w:id="1">
    <w:p w14:paraId="0FEA3E46" w14:textId="77777777" w:rsidR="00CB4ECE" w:rsidRDefault="00CB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1241" w14:textId="77777777" w:rsidR="00AB0AAB" w:rsidRDefault="00AB0AAB" w:rsidP="006430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4FD"/>
    <w:multiLevelType w:val="hybridMultilevel"/>
    <w:tmpl w:val="2B3E6B38"/>
    <w:lvl w:ilvl="0" w:tplc="B458489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330E4"/>
    <w:multiLevelType w:val="hybridMultilevel"/>
    <w:tmpl w:val="CD00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A36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4A591D"/>
    <w:multiLevelType w:val="hybridMultilevel"/>
    <w:tmpl w:val="FA482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FC4B19"/>
    <w:multiLevelType w:val="hybridMultilevel"/>
    <w:tmpl w:val="8D3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C00AB"/>
    <w:multiLevelType w:val="hybridMultilevel"/>
    <w:tmpl w:val="95F0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A1FB0"/>
    <w:multiLevelType w:val="multilevel"/>
    <w:tmpl w:val="04090025"/>
    <w:numStyleLink w:val="Style1"/>
  </w:abstractNum>
  <w:abstractNum w:abstractNumId="7" w15:restartNumberingAfterBreak="0">
    <w:nsid w:val="23BC2521"/>
    <w:multiLevelType w:val="multilevel"/>
    <w:tmpl w:val="0422001F"/>
    <w:numStyleLink w:val="111111"/>
  </w:abstractNum>
  <w:abstractNum w:abstractNumId="8" w15:restartNumberingAfterBreak="0">
    <w:nsid w:val="256553DC"/>
    <w:multiLevelType w:val="multilevel"/>
    <w:tmpl w:val="04090025"/>
    <w:numStyleLink w:val="Style1"/>
  </w:abstractNum>
  <w:abstractNum w:abstractNumId="9" w15:restartNumberingAfterBreak="0">
    <w:nsid w:val="26AC3C85"/>
    <w:multiLevelType w:val="hybridMultilevel"/>
    <w:tmpl w:val="078CE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A57C7"/>
    <w:multiLevelType w:val="hybridMultilevel"/>
    <w:tmpl w:val="5AD89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87779"/>
    <w:multiLevelType w:val="hybridMultilevel"/>
    <w:tmpl w:val="7EE83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B5E5E"/>
    <w:multiLevelType w:val="multilevel"/>
    <w:tmpl w:val="04090025"/>
    <w:numStyleLink w:val="Style1"/>
  </w:abstractNum>
  <w:abstractNum w:abstractNumId="13" w15:restartNumberingAfterBreak="0">
    <w:nsid w:val="396E7EBE"/>
    <w:multiLevelType w:val="hybridMultilevel"/>
    <w:tmpl w:val="29F4CF2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4E12ACE"/>
    <w:multiLevelType w:val="hybridMultilevel"/>
    <w:tmpl w:val="3DDA325A"/>
    <w:lvl w:ilvl="0" w:tplc="1AC42888">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466A233A"/>
    <w:multiLevelType w:val="hybridMultilevel"/>
    <w:tmpl w:val="30802B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8CA214D"/>
    <w:multiLevelType w:val="hybridMultilevel"/>
    <w:tmpl w:val="7A78E9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C465388"/>
    <w:multiLevelType w:val="hybridMultilevel"/>
    <w:tmpl w:val="909EA7F4"/>
    <w:lvl w:ilvl="0" w:tplc="04190019">
      <w:start w:val="1"/>
      <w:numFmt w:val="lowerLetter"/>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F4A21FB"/>
    <w:multiLevelType w:val="multilevel"/>
    <w:tmpl w:val="042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0DA0F5F"/>
    <w:multiLevelType w:val="multilevel"/>
    <w:tmpl w:val="04090025"/>
    <w:numStyleLink w:val="Style1"/>
  </w:abstractNum>
  <w:abstractNum w:abstractNumId="20" w15:restartNumberingAfterBreak="0">
    <w:nsid w:val="51E75DAA"/>
    <w:multiLevelType w:val="multilevel"/>
    <w:tmpl w:val="04090025"/>
    <w:numStyleLink w:val="Style1"/>
  </w:abstractNum>
  <w:abstractNum w:abstractNumId="21" w15:restartNumberingAfterBreak="0">
    <w:nsid w:val="595E42B1"/>
    <w:multiLevelType w:val="hybridMultilevel"/>
    <w:tmpl w:val="D1041572"/>
    <w:lvl w:ilvl="0" w:tplc="5DA27934">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C47815"/>
    <w:multiLevelType w:val="hybridMultilevel"/>
    <w:tmpl w:val="1206C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7193E"/>
    <w:multiLevelType w:val="hybridMultilevel"/>
    <w:tmpl w:val="D31447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E3032A8"/>
    <w:multiLevelType w:val="hybridMultilevel"/>
    <w:tmpl w:val="1244321A"/>
    <w:lvl w:ilvl="0" w:tplc="77683C50">
      <w:start w:val="50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5EA36F78"/>
    <w:multiLevelType w:val="multilevel"/>
    <w:tmpl w:val="04090025"/>
    <w:styleLink w:val="Style1"/>
    <w:lvl w:ilvl="0">
      <w:start w:val="1"/>
      <w:numFmt w:val="upperLetter"/>
      <w:lvlText w:val="%1"/>
      <w:lvlJc w:val="left"/>
      <w:pPr>
        <w:ind w:left="432" w:hanging="432"/>
      </w:pPr>
      <w:rPr>
        <w:b/>
        <w:bCs/>
        <w:u w:val="singl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2A06B5D"/>
    <w:multiLevelType w:val="hybridMultilevel"/>
    <w:tmpl w:val="F8489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7012C"/>
    <w:multiLevelType w:val="hybridMultilevel"/>
    <w:tmpl w:val="38AC803C"/>
    <w:lvl w:ilvl="0" w:tplc="C8641BD6">
      <w:numFmt w:val="bullet"/>
      <w:lvlText w:val="&gt;"/>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62EB2D56"/>
    <w:multiLevelType w:val="hybridMultilevel"/>
    <w:tmpl w:val="D1DC6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C488B"/>
    <w:multiLevelType w:val="multilevel"/>
    <w:tmpl w:val="04090025"/>
    <w:numStyleLink w:val="Style1"/>
  </w:abstractNum>
  <w:abstractNum w:abstractNumId="30" w15:restartNumberingAfterBreak="0">
    <w:nsid w:val="65B47A29"/>
    <w:multiLevelType w:val="hybridMultilevel"/>
    <w:tmpl w:val="159C7E5C"/>
    <w:lvl w:ilvl="0" w:tplc="D7DC960E">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6B921607"/>
    <w:multiLevelType w:val="hybridMultilevel"/>
    <w:tmpl w:val="99C0CC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EC96899"/>
    <w:multiLevelType w:val="hybridMultilevel"/>
    <w:tmpl w:val="9FF63A4E"/>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3" w15:restartNumberingAfterBreak="0">
    <w:nsid w:val="708C06A8"/>
    <w:multiLevelType w:val="multilevel"/>
    <w:tmpl w:val="04090025"/>
    <w:numStyleLink w:val="Style1"/>
  </w:abstractNum>
  <w:abstractNum w:abstractNumId="34" w15:restartNumberingAfterBreak="0">
    <w:nsid w:val="72B96C1E"/>
    <w:multiLevelType w:val="multilevel"/>
    <w:tmpl w:val="0422001F"/>
    <w:numStyleLink w:val="111111"/>
  </w:abstractNum>
  <w:abstractNum w:abstractNumId="35" w15:restartNumberingAfterBreak="0">
    <w:nsid w:val="7BC86CC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CD46D1"/>
    <w:multiLevelType w:val="hybridMultilevel"/>
    <w:tmpl w:val="DAB6224E"/>
    <w:lvl w:ilvl="0" w:tplc="60644F66">
      <w:start w:val="1"/>
      <w:numFmt w:val="decimal"/>
      <w:lvlText w:val="%1."/>
      <w:lvlJc w:val="left"/>
      <w:pPr>
        <w:ind w:left="928"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15:restartNumberingAfterBreak="0">
    <w:nsid w:val="7E194EE2"/>
    <w:multiLevelType w:val="hybridMultilevel"/>
    <w:tmpl w:val="F57C5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1D0212"/>
    <w:multiLevelType w:val="multilevel"/>
    <w:tmpl w:val="04090025"/>
    <w:numStyleLink w:val="Style1"/>
  </w:abstractNum>
  <w:num w:numId="1">
    <w:abstractNumId w:val="27"/>
  </w:num>
  <w:num w:numId="2">
    <w:abstractNumId w:val="30"/>
  </w:num>
  <w:num w:numId="3">
    <w:abstractNumId w:val="6"/>
  </w:num>
  <w:num w:numId="4">
    <w:abstractNumId w:val="25"/>
  </w:num>
  <w:num w:numId="5">
    <w:abstractNumId w:val="12"/>
  </w:num>
  <w:num w:numId="6">
    <w:abstractNumId w:val="2"/>
  </w:num>
  <w:num w:numId="7">
    <w:abstractNumId w:val="38"/>
  </w:num>
  <w:num w:numId="8">
    <w:abstractNumId w:val="33"/>
    <w:lvlOverride w:ilvl="0">
      <w:lvl w:ilvl="0">
        <w:start w:val="1"/>
        <w:numFmt w:val="decimal"/>
        <w:lvlText w:val="%1."/>
        <w:lvlJc w:val="left"/>
        <w:pPr>
          <w:tabs>
            <w:tab w:val="num" w:pos="360"/>
          </w:tabs>
          <w:ind w:left="360" w:hanging="360"/>
        </w:pPr>
      </w:lvl>
    </w:lvlOverride>
    <w:lvlOverride w:ilvl="1">
      <w:lvl w:ilvl="1">
        <w:start w:val="1"/>
        <w:numFmt w:val="decimal"/>
        <w:lvlText w:val="%2."/>
        <w:lvlJc w:val="left"/>
        <w:pPr>
          <w:tabs>
            <w:tab w:val="num" w:pos="792"/>
          </w:tabs>
          <w:ind w:left="792" w:hanging="432"/>
        </w:pPr>
        <w:rPr>
          <w:rFonts w:ascii="Calibri" w:eastAsia="Times New Roman" w:hAnsi="Calibri"/>
          <w:b/>
        </w:r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8"/>
  </w:num>
  <w:num w:numId="10">
    <w:abstractNumId w:val="29"/>
  </w:num>
  <w:num w:numId="11">
    <w:abstractNumId w:val="19"/>
  </w:num>
  <w:num w:numId="12">
    <w:abstractNumId w:val="20"/>
  </w:num>
  <w:num w:numId="13">
    <w:abstractNumId w:val="14"/>
  </w:num>
  <w:num w:numId="14">
    <w:abstractNumId w:val="24"/>
  </w:num>
  <w:num w:numId="15">
    <w:abstractNumId w:val="18"/>
  </w:num>
  <w:num w:numId="16">
    <w:abstractNumId w:val="32"/>
  </w:num>
  <w:num w:numId="17">
    <w:abstractNumId w:val="36"/>
  </w:num>
  <w:num w:numId="18">
    <w:abstractNumId w:val="35"/>
  </w:num>
  <w:num w:numId="19">
    <w:abstractNumId w:val="15"/>
  </w:num>
  <w:num w:numId="20">
    <w:abstractNumId w:val="13"/>
  </w:num>
  <w:num w:numId="21">
    <w:abstractNumId w:val="31"/>
  </w:num>
  <w:num w:numId="22">
    <w:abstractNumId w:val="16"/>
  </w:num>
  <w:num w:numId="23">
    <w:abstractNumId w:val="0"/>
  </w:num>
  <w:num w:numId="24">
    <w:abstractNumId w:val="23"/>
  </w:num>
  <w:num w:numId="25">
    <w:abstractNumId w:val="21"/>
  </w:num>
  <w:num w:numId="26">
    <w:abstractNumId w:val="17"/>
  </w:num>
  <w:num w:numId="27">
    <w:abstractNumId w:val="7"/>
  </w:num>
  <w:num w:numId="28">
    <w:abstractNumId w:val="34"/>
  </w:num>
  <w:num w:numId="29">
    <w:abstractNumId w:val="11"/>
  </w:num>
  <w:num w:numId="30">
    <w:abstractNumId w:val="10"/>
  </w:num>
  <w:num w:numId="31">
    <w:abstractNumId w:val="28"/>
  </w:num>
  <w:num w:numId="32">
    <w:abstractNumId w:val="26"/>
  </w:num>
  <w:num w:numId="33">
    <w:abstractNumId w:val="5"/>
  </w:num>
  <w:num w:numId="34">
    <w:abstractNumId w:val="1"/>
  </w:num>
  <w:num w:numId="35">
    <w:abstractNumId w:val="9"/>
  </w:num>
  <w:num w:numId="36">
    <w:abstractNumId w:val="4"/>
  </w:num>
  <w:num w:numId="37">
    <w:abstractNumId w:val="33"/>
  </w:num>
  <w:num w:numId="38">
    <w:abstractNumId w:val="22"/>
  </w:num>
  <w:num w:numId="39">
    <w:abstractNumId w:val="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proofState w:spelling="clean" w:grammar="clean"/>
  <w:defaultTabStop w:val="432"/>
  <w:hyphenationZone w:val="425"/>
  <w:doNotHyphenateCaps/>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530"/>
    <w:rsid w:val="00000851"/>
    <w:rsid w:val="00001519"/>
    <w:rsid w:val="0000168E"/>
    <w:rsid w:val="0000331B"/>
    <w:rsid w:val="000064A0"/>
    <w:rsid w:val="0000798D"/>
    <w:rsid w:val="00007D82"/>
    <w:rsid w:val="00010764"/>
    <w:rsid w:val="00010B7D"/>
    <w:rsid w:val="00011294"/>
    <w:rsid w:val="00011AF1"/>
    <w:rsid w:val="000154CD"/>
    <w:rsid w:val="0001719F"/>
    <w:rsid w:val="00020AF8"/>
    <w:rsid w:val="0002187F"/>
    <w:rsid w:val="00021C62"/>
    <w:rsid w:val="000226B1"/>
    <w:rsid w:val="000238E1"/>
    <w:rsid w:val="000246D3"/>
    <w:rsid w:val="00024AC5"/>
    <w:rsid w:val="00027094"/>
    <w:rsid w:val="00030AB1"/>
    <w:rsid w:val="00031D89"/>
    <w:rsid w:val="00035368"/>
    <w:rsid w:val="00035FF3"/>
    <w:rsid w:val="000362FF"/>
    <w:rsid w:val="00036833"/>
    <w:rsid w:val="000374C3"/>
    <w:rsid w:val="0004112E"/>
    <w:rsid w:val="00041D89"/>
    <w:rsid w:val="00041FD5"/>
    <w:rsid w:val="00043194"/>
    <w:rsid w:val="00044556"/>
    <w:rsid w:val="00046078"/>
    <w:rsid w:val="000476D5"/>
    <w:rsid w:val="00047833"/>
    <w:rsid w:val="0005149F"/>
    <w:rsid w:val="00054D91"/>
    <w:rsid w:val="00055A8C"/>
    <w:rsid w:val="00056FC1"/>
    <w:rsid w:val="00057F86"/>
    <w:rsid w:val="000601F5"/>
    <w:rsid w:val="00060D7D"/>
    <w:rsid w:val="0006165C"/>
    <w:rsid w:val="000625C0"/>
    <w:rsid w:val="00062F27"/>
    <w:rsid w:val="000637B5"/>
    <w:rsid w:val="0006484E"/>
    <w:rsid w:val="000653E7"/>
    <w:rsid w:val="000656F6"/>
    <w:rsid w:val="0006729F"/>
    <w:rsid w:val="00067F70"/>
    <w:rsid w:val="000702D9"/>
    <w:rsid w:val="00071935"/>
    <w:rsid w:val="00072370"/>
    <w:rsid w:val="00073604"/>
    <w:rsid w:val="0007455A"/>
    <w:rsid w:val="00074A4C"/>
    <w:rsid w:val="00075457"/>
    <w:rsid w:val="00075474"/>
    <w:rsid w:val="00080997"/>
    <w:rsid w:val="00080AD8"/>
    <w:rsid w:val="000813CA"/>
    <w:rsid w:val="000826A4"/>
    <w:rsid w:val="00086537"/>
    <w:rsid w:val="000868D6"/>
    <w:rsid w:val="000868FA"/>
    <w:rsid w:val="000902FC"/>
    <w:rsid w:val="0009094B"/>
    <w:rsid w:val="0009332B"/>
    <w:rsid w:val="0009360C"/>
    <w:rsid w:val="00093B0B"/>
    <w:rsid w:val="00095127"/>
    <w:rsid w:val="00095C1D"/>
    <w:rsid w:val="00097966"/>
    <w:rsid w:val="00097A86"/>
    <w:rsid w:val="000A1684"/>
    <w:rsid w:val="000A2F25"/>
    <w:rsid w:val="000A37C2"/>
    <w:rsid w:val="000A51BB"/>
    <w:rsid w:val="000A5381"/>
    <w:rsid w:val="000A688E"/>
    <w:rsid w:val="000B10F6"/>
    <w:rsid w:val="000B2150"/>
    <w:rsid w:val="000B30F2"/>
    <w:rsid w:val="000B3DB9"/>
    <w:rsid w:val="000B4C87"/>
    <w:rsid w:val="000B4E02"/>
    <w:rsid w:val="000B5E3B"/>
    <w:rsid w:val="000B65D2"/>
    <w:rsid w:val="000C0865"/>
    <w:rsid w:val="000C369C"/>
    <w:rsid w:val="000C45E0"/>
    <w:rsid w:val="000C4D7C"/>
    <w:rsid w:val="000C4DD7"/>
    <w:rsid w:val="000C700B"/>
    <w:rsid w:val="000C7BAD"/>
    <w:rsid w:val="000D12D9"/>
    <w:rsid w:val="000D25B8"/>
    <w:rsid w:val="000D2A54"/>
    <w:rsid w:val="000D5237"/>
    <w:rsid w:val="000D5332"/>
    <w:rsid w:val="000D5E7D"/>
    <w:rsid w:val="000D7050"/>
    <w:rsid w:val="000D7A77"/>
    <w:rsid w:val="000D7B91"/>
    <w:rsid w:val="000E013B"/>
    <w:rsid w:val="000E141F"/>
    <w:rsid w:val="000E26D6"/>
    <w:rsid w:val="000E3315"/>
    <w:rsid w:val="000E3444"/>
    <w:rsid w:val="000E3AF8"/>
    <w:rsid w:val="000E6D71"/>
    <w:rsid w:val="000F043D"/>
    <w:rsid w:val="000F194C"/>
    <w:rsid w:val="000F1E6C"/>
    <w:rsid w:val="000F2ABA"/>
    <w:rsid w:val="000F2F90"/>
    <w:rsid w:val="000F317E"/>
    <w:rsid w:val="000F376B"/>
    <w:rsid w:val="000F5B24"/>
    <w:rsid w:val="000F7997"/>
    <w:rsid w:val="0010125C"/>
    <w:rsid w:val="00101E98"/>
    <w:rsid w:val="00102821"/>
    <w:rsid w:val="00102F18"/>
    <w:rsid w:val="0010456A"/>
    <w:rsid w:val="00104CA4"/>
    <w:rsid w:val="00106C96"/>
    <w:rsid w:val="001078F3"/>
    <w:rsid w:val="0011053E"/>
    <w:rsid w:val="0011094A"/>
    <w:rsid w:val="0011163E"/>
    <w:rsid w:val="00111CF7"/>
    <w:rsid w:val="00112877"/>
    <w:rsid w:val="00112E11"/>
    <w:rsid w:val="00114DCD"/>
    <w:rsid w:val="00115558"/>
    <w:rsid w:val="0011562D"/>
    <w:rsid w:val="00115664"/>
    <w:rsid w:val="00116044"/>
    <w:rsid w:val="001213BD"/>
    <w:rsid w:val="00122146"/>
    <w:rsid w:val="00124149"/>
    <w:rsid w:val="00126279"/>
    <w:rsid w:val="001271DF"/>
    <w:rsid w:val="00127229"/>
    <w:rsid w:val="001303F7"/>
    <w:rsid w:val="00133568"/>
    <w:rsid w:val="00134B2B"/>
    <w:rsid w:val="00136CCD"/>
    <w:rsid w:val="00140E8D"/>
    <w:rsid w:val="00141DAC"/>
    <w:rsid w:val="00142289"/>
    <w:rsid w:val="001431E5"/>
    <w:rsid w:val="00144A28"/>
    <w:rsid w:val="00146B76"/>
    <w:rsid w:val="00147152"/>
    <w:rsid w:val="0015099A"/>
    <w:rsid w:val="00151DAC"/>
    <w:rsid w:val="00151E93"/>
    <w:rsid w:val="00153093"/>
    <w:rsid w:val="00156351"/>
    <w:rsid w:val="00156AB4"/>
    <w:rsid w:val="001575B4"/>
    <w:rsid w:val="00157A7F"/>
    <w:rsid w:val="00161714"/>
    <w:rsid w:val="00161A1E"/>
    <w:rsid w:val="00161B44"/>
    <w:rsid w:val="00162712"/>
    <w:rsid w:val="001629E4"/>
    <w:rsid w:val="00162C90"/>
    <w:rsid w:val="00163184"/>
    <w:rsid w:val="00164852"/>
    <w:rsid w:val="00164B5D"/>
    <w:rsid w:val="00165A6C"/>
    <w:rsid w:val="001677D0"/>
    <w:rsid w:val="001728E5"/>
    <w:rsid w:val="00175813"/>
    <w:rsid w:val="0017608E"/>
    <w:rsid w:val="001803B2"/>
    <w:rsid w:val="00180A48"/>
    <w:rsid w:val="001810BC"/>
    <w:rsid w:val="001825AA"/>
    <w:rsid w:val="001860CD"/>
    <w:rsid w:val="001862A9"/>
    <w:rsid w:val="0019083E"/>
    <w:rsid w:val="00190C13"/>
    <w:rsid w:val="001912CB"/>
    <w:rsid w:val="0019263A"/>
    <w:rsid w:val="00195476"/>
    <w:rsid w:val="00196A0E"/>
    <w:rsid w:val="00196C53"/>
    <w:rsid w:val="00196FBB"/>
    <w:rsid w:val="00197A7C"/>
    <w:rsid w:val="00197D42"/>
    <w:rsid w:val="001A1AAA"/>
    <w:rsid w:val="001A27AD"/>
    <w:rsid w:val="001A3037"/>
    <w:rsid w:val="001A4B08"/>
    <w:rsid w:val="001A5D12"/>
    <w:rsid w:val="001A66FF"/>
    <w:rsid w:val="001A67D6"/>
    <w:rsid w:val="001A685D"/>
    <w:rsid w:val="001A7215"/>
    <w:rsid w:val="001A7B04"/>
    <w:rsid w:val="001B026F"/>
    <w:rsid w:val="001B05FE"/>
    <w:rsid w:val="001B0722"/>
    <w:rsid w:val="001B1336"/>
    <w:rsid w:val="001B17AF"/>
    <w:rsid w:val="001B1E85"/>
    <w:rsid w:val="001B4FBC"/>
    <w:rsid w:val="001B5A41"/>
    <w:rsid w:val="001C0271"/>
    <w:rsid w:val="001C0430"/>
    <w:rsid w:val="001C067C"/>
    <w:rsid w:val="001C0816"/>
    <w:rsid w:val="001C178B"/>
    <w:rsid w:val="001C25AE"/>
    <w:rsid w:val="001C45AF"/>
    <w:rsid w:val="001C5995"/>
    <w:rsid w:val="001D111C"/>
    <w:rsid w:val="001D140F"/>
    <w:rsid w:val="001D36F8"/>
    <w:rsid w:val="001E0605"/>
    <w:rsid w:val="001E0773"/>
    <w:rsid w:val="001E080B"/>
    <w:rsid w:val="001E203E"/>
    <w:rsid w:val="001E2496"/>
    <w:rsid w:val="001E71E7"/>
    <w:rsid w:val="001F2BC5"/>
    <w:rsid w:val="001F3DD1"/>
    <w:rsid w:val="001F5135"/>
    <w:rsid w:val="001F74A9"/>
    <w:rsid w:val="002006CC"/>
    <w:rsid w:val="00200B87"/>
    <w:rsid w:val="00201754"/>
    <w:rsid w:val="002032D7"/>
    <w:rsid w:val="002033CD"/>
    <w:rsid w:val="002053DC"/>
    <w:rsid w:val="00205C0F"/>
    <w:rsid w:val="00207800"/>
    <w:rsid w:val="00210DA0"/>
    <w:rsid w:val="00211635"/>
    <w:rsid w:val="00212ED8"/>
    <w:rsid w:val="00213E99"/>
    <w:rsid w:val="00214F87"/>
    <w:rsid w:val="002152A6"/>
    <w:rsid w:val="00215B27"/>
    <w:rsid w:val="00217148"/>
    <w:rsid w:val="00217FC2"/>
    <w:rsid w:val="00223235"/>
    <w:rsid w:val="002260C4"/>
    <w:rsid w:val="00231669"/>
    <w:rsid w:val="00232004"/>
    <w:rsid w:val="002320BF"/>
    <w:rsid w:val="00234671"/>
    <w:rsid w:val="00235231"/>
    <w:rsid w:val="00237547"/>
    <w:rsid w:val="00237AAF"/>
    <w:rsid w:val="00242419"/>
    <w:rsid w:val="00245969"/>
    <w:rsid w:val="00245FBF"/>
    <w:rsid w:val="00247E8C"/>
    <w:rsid w:val="00247F10"/>
    <w:rsid w:val="0025016A"/>
    <w:rsid w:val="00251313"/>
    <w:rsid w:val="0026139D"/>
    <w:rsid w:val="00261410"/>
    <w:rsid w:val="0026143F"/>
    <w:rsid w:val="00263074"/>
    <w:rsid w:val="00263E20"/>
    <w:rsid w:val="002640CD"/>
    <w:rsid w:val="00264140"/>
    <w:rsid w:val="0026422C"/>
    <w:rsid w:val="00264CB8"/>
    <w:rsid w:val="002660C7"/>
    <w:rsid w:val="00271703"/>
    <w:rsid w:val="00273252"/>
    <w:rsid w:val="00274319"/>
    <w:rsid w:val="002744B9"/>
    <w:rsid w:val="0027512B"/>
    <w:rsid w:val="002758BB"/>
    <w:rsid w:val="00275999"/>
    <w:rsid w:val="00275AD2"/>
    <w:rsid w:val="00276049"/>
    <w:rsid w:val="00282449"/>
    <w:rsid w:val="0028256D"/>
    <w:rsid w:val="00285C3D"/>
    <w:rsid w:val="00287A24"/>
    <w:rsid w:val="00290258"/>
    <w:rsid w:val="00290C61"/>
    <w:rsid w:val="00292D05"/>
    <w:rsid w:val="00292E87"/>
    <w:rsid w:val="00294F05"/>
    <w:rsid w:val="00295A9B"/>
    <w:rsid w:val="002967F2"/>
    <w:rsid w:val="002A06EB"/>
    <w:rsid w:val="002A3196"/>
    <w:rsid w:val="002A4313"/>
    <w:rsid w:val="002A49F8"/>
    <w:rsid w:val="002A4D04"/>
    <w:rsid w:val="002A4FF3"/>
    <w:rsid w:val="002A563B"/>
    <w:rsid w:val="002A57BB"/>
    <w:rsid w:val="002A606F"/>
    <w:rsid w:val="002B14C7"/>
    <w:rsid w:val="002B206C"/>
    <w:rsid w:val="002B2F73"/>
    <w:rsid w:val="002B31CA"/>
    <w:rsid w:val="002B3E47"/>
    <w:rsid w:val="002B3E75"/>
    <w:rsid w:val="002B462A"/>
    <w:rsid w:val="002B4828"/>
    <w:rsid w:val="002B6A1F"/>
    <w:rsid w:val="002B6BC9"/>
    <w:rsid w:val="002B6F96"/>
    <w:rsid w:val="002C1A42"/>
    <w:rsid w:val="002C216E"/>
    <w:rsid w:val="002C25A2"/>
    <w:rsid w:val="002C462A"/>
    <w:rsid w:val="002C5D7A"/>
    <w:rsid w:val="002C5F6A"/>
    <w:rsid w:val="002C6060"/>
    <w:rsid w:val="002C60B1"/>
    <w:rsid w:val="002C6A3E"/>
    <w:rsid w:val="002D06EA"/>
    <w:rsid w:val="002D24FD"/>
    <w:rsid w:val="002D3F87"/>
    <w:rsid w:val="002D5629"/>
    <w:rsid w:val="002D5D67"/>
    <w:rsid w:val="002D78E0"/>
    <w:rsid w:val="002E2238"/>
    <w:rsid w:val="002E2B02"/>
    <w:rsid w:val="002E3304"/>
    <w:rsid w:val="002E5EC2"/>
    <w:rsid w:val="002F06F3"/>
    <w:rsid w:val="002F25DA"/>
    <w:rsid w:val="002F45E9"/>
    <w:rsid w:val="0030521C"/>
    <w:rsid w:val="003069D8"/>
    <w:rsid w:val="00306EE4"/>
    <w:rsid w:val="0031037E"/>
    <w:rsid w:val="003137AA"/>
    <w:rsid w:val="00313DE0"/>
    <w:rsid w:val="003156AF"/>
    <w:rsid w:val="003158CE"/>
    <w:rsid w:val="00315C1C"/>
    <w:rsid w:val="003174FF"/>
    <w:rsid w:val="0032003D"/>
    <w:rsid w:val="003209EE"/>
    <w:rsid w:val="00321A45"/>
    <w:rsid w:val="00321AD8"/>
    <w:rsid w:val="00321BCF"/>
    <w:rsid w:val="003220C3"/>
    <w:rsid w:val="00323202"/>
    <w:rsid w:val="00323877"/>
    <w:rsid w:val="003249AB"/>
    <w:rsid w:val="003279E5"/>
    <w:rsid w:val="00327FD8"/>
    <w:rsid w:val="003333B2"/>
    <w:rsid w:val="00334447"/>
    <w:rsid w:val="00335292"/>
    <w:rsid w:val="00336502"/>
    <w:rsid w:val="0033720F"/>
    <w:rsid w:val="00337565"/>
    <w:rsid w:val="003377F0"/>
    <w:rsid w:val="00337B45"/>
    <w:rsid w:val="00340B68"/>
    <w:rsid w:val="00340BA0"/>
    <w:rsid w:val="00342BE6"/>
    <w:rsid w:val="00343D7F"/>
    <w:rsid w:val="0034652A"/>
    <w:rsid w:val="00347274"/>
    <w:rsid w:val="003515BA"/>
    <w:rsid w:val="003551E0"/>
    <w:rsid w:val="00355425"/>
    <w:rsid w:val="00355F16"/>
    <w:rsid w:val="00357773"/>
    <w:rsid w:val="00360B2F"/>
    <w:rsid w:val="00360C33"/>
    <w:rsid w:val="00361217"/>
    <w:rsid w:val="003644B1"/>
    <w:rsid w:val="00365458"/>
    <w:rsid w:val="0036559D"/>
    <w:rsid w:val="00365CA9"/>
    <w:rsid w:val="00365E68"/>
    <w:rsid w:val="00366185"/>
    <w:rsid w:val="00366526"/>
    <w:rsid w:val="003672DA"/>
    <w:rsid w:val="0037037C"/>
    <w:rsid w:val="003728A4"/>
    <w:rsid w:val="00375529"/>
    <w:rsid w:val="00377999"/>
    <w:rsid w:val="003779C5"/>
    <w:rsid w:val="003803A6"/>
    <w:rsid w:val="003810AD"/>
    <w:rsid w:val="003818CA"/>
    <w:rsid w:val="00383BC9"/>
    <w:rsid w:val="0038503C"/>
    <w:rsid w:val="0038549C"/>
    <w:rsid w:val="00386B9A"/>
    <w:rsid w:val="00394AD8"/>
    <w:rsid w:val="00395023"/>
    <w:rsid w:val="003961F7"/>
    <w:rsid w:val="00396F63"/>
    <w:rsid w:val="003A0474"/>
    <w:rsid w:val="003A0EE5"/>
    <w:rsid w:val="003A11DD"/>
    <w:rsid w:val="003A2076"/>
    <w:rsid w:val="003A56FF"/>
    <w:rsid w:val="003A731E"/>
    <w:rsid w:val="003B0078"/>
    <w:rsid w:val="003B0B70"/>
    <w:rsid w:val="003B0F03"/>
    <w:rsid w:val="003B2755"/>
    <w:rsid w:val="003B44E9"/>
    <w:rsid w:val="003B52FA"/>
    <w:rsid w:val="003B5CBA"/>
    <w:rsid w:val="003B7BE5"/>
    <w:rsid w:val="003C06FD"/>
    <w:rsid w:val="003C0C40"/>
    <w:rsid w:val="003C1A75"/>
    <w:rsid w:val="003C2ABD"/>
    <w:rsid w:val="003C48BC"/>
    <w:rsid w:val="003C4B50"/>
    <w:rsid w:val="003C6968"/>
    <w:rsid w:val="003C7D99"/>
    <w:rsid w:val="003D16B2"/>
    <w:rsid w:val="003D254A"/>
    <w:rsid w:val="003D2CDD"/>
    <w:rsid w:val="003D3BA4"/>
    <w:rsid w:val="003D3F29"/>
    <w:rsid w:val="003D4EF9"/>
    <w:rsid w:val="003D5AE4"/>
    <w:rsid w:val="003D6709"/>
    <w:rsid w:val="003E1BB9"/>
    <w:rsid w:val="003E3E1A"/>
    <w:rsid w:val="003E4361"/>
    <w:rsid w:val="003E527B"/>
    <w:rsid w:val="003E5DAF"/>
    <w:rsid w:val="003E693D"/>
    <w:rsid w:val="003E72FC"/>
    <w:rsid w:val="003F14A4"/>
    <w:rsid w:val="003F20C3"/>
    <w:rsid w:val="003F253F"/>
    <w:rsid w:val="003F3F03"/>
    <w:rsid w:val="003F443B"/>
    <w:rsid w:val="004003DE"/>
    <w:rsid w:val="0040153D"/>
    <w:rsid w:val="00402AF6"/>
    <w:rsid w:val="00405916"/>
    <w:rsid w:val="00407309"/>
    <w:rsid w:val="004103DA"/>
    <w:rsid w:val="00411D70"/>
    <w:rsid w:val="00414894"/>
    <w:rsid w:val="0041653F"/>
    <w:rsid w:val="00416993"/>
    <w:rsid w:val="00421839"/>
    <w:rsid w:val="004220DC"/>
    <w:rsid w:val="00422BF5"/>
    <w:rsid w:val="004241DD"/>
    <w:rsid w:val="00424642"/>
    <w:rsid w:val="004247AA"/>
    <w:rsid w:val="00424883"/>
    <w:rsid w:val="004262E1"/>
    <w:rsid w:val="00427552"/>
    <w:rsid w:val="00431843"/>
    <w:rsid w:val="00432EC5"/>
    <w:rsid w:val="00434B8F"/>
    <w:rsid w:val="0043695D"/>
    <w:rsid w:val="004378AF"/>
    <w:rsid w:val="004406D6"/>
    <w:rsid w:val="00440D27"/>
    <w:rsid w:val="004414D8"/>
    <w:rsid w:val="00442F9D"/>
    <w:rsid w:val="00444B21"/>
    <w:rsid w:val="00446278"/>
    <w:rsid w:val="004470B6"/>
    <w:rsid w:val="004475D0"/>
    <w:rsid w:val="00447B0D"/>
    <w:rsid w:val="00450DD0"/>
    <w:rsid w:val="00451496"/>
    <w:rsid w:val="00451738"/>
    <w:rsid w:val="00451E65"/>
    <w:rsid w:val="004540A3"/>
    <w:rsid w:val="00455BC1"/>
    <w:rsid w:val="00456427"/>
    <w:rsid w:val="00456AFB"/>
    <w:rsid w:val="00461273"/>
    <w:rsid w:val="004622D6"/>
    <w:rsid w:val="00462E73"/>
    <w:rsid w:val="004630FC"/>
    <w:rsid w:val="00463811"/>
    <w:rsid w:val="004640F0"/>
    <w:rsid w:val="004705E3"/>
    <w:rsid w:val="00472B49"/>
    <w:rsid w:val="00474114"/>
    <w:rsid w:val="00474643"/>
    <w:rsid w:val="00474D25"/>
    <w:rsid w:val="0047573E"/>
    <w:rsid w:val="00476B7D"/>
    <w:rsid w:val="00476C72"/>
    <w:rsid w:val="00477A62"/>
    <w:rsid w:val="0048013B"/>
    <w:rsid w:val="00482C3D"/>
    <w:rsid w:val="00482FCC"/>
    <w:rsid w:val="00483581"/>
    <w:rsid w:val="00485D34"/>
    <w:rsid w:val="0048771C"/>
    <w:rsid w:val="00487A54"/>
    <w:rsid w:val="00490498"/>
    <w:rsid w:val="0049210C"/>
    <w:rsid w:val="00495038"/>
    <w:rsid w:val="004959B5"/>
    <w:rsid w:val="004967FA"/>
    <w:rsid w:val="0049774A"/>
    <w:rsid w:val="0049794F"/>
    <w:rsid w:val="004A1C72"/>
    <w:rsid w:val="004A23FF"/>
    <w:rsid w:val="004A39E6"/>
    <w:rsid w:val="004A455F"/>
    <w:rsid w:val="004A7989"/>
    <w:rsid w:val="004A7C1F"/>
    <w:rsid w:val="004B00E5"/>
    <w:rsid w:val="004B0C9C"/>
    <w:rsid w:val="004B10BE"/>
    <w:rsid w:val="004B1E81"/>
    <w:rsid w:val="004B3BCE"/>
    <w:rsid w:val="004B48B3"/>
    <w:rsid w:val="004C0974"/>
    <w:rsid w:val="004C0EBE"/>
    <w:rsid w:val="004C1B8C"/>
    <w:rsid w:val="004C5076"/>
    <w:rsid w:val="004C6753"/>
    <w:rsid w:val="004D1FC6"/>
    <w:rsid w:val="004D31E3"/>
    <w:rsid w:val="004D3790"/>
    <w:rsid w:val="004D4312"/>
    <w:rsid w:val="004E00E6"/>
    <w:rsid w:val="004E2245"/>
    <w:rsid w:val="004E6046"/>
    <w:rsid w:val="004F0B7C"/>
    <w:rsid w:val="004F2617"/>
    <w:rsid w:val="004F2C61"/>
    <w:rsid w:val="004F35DB"/>
    <w:rsid w:val="004F3A8F"/>
    <w:rsid w:val="004F4048"/>
    <w:rsid w:val="004F5DD7"/>
    <w:rsid w:val="004F5E21"/>
    <w:rsid w:val="004F6FC3"/>
    <w:rsid w:val="005010E3"/>
    <w:rsid w:val="005011F2"/>
    <w:rsid w:val="005019D3"/>
    <w:rsid w:val="00503A09"/>
    <w:rsid w:val="00503CD6"/>
    <w:rsid w:val="00503DE2"/>
    <w:rsid w:val="005048F6"/>
    <w:rsid w:val="00506F7E"/>
    <w:rsid w:val="00510F28"/>
    <w:rsid w:val="0051170B"/>
    <w:rsid w:val="00511DFD"/>
    <w:rsid w:val="00511EA3"/>
    <w:rsid w:val="00512A08"/>
    <w:rsid w:val="00513527"/>
    <w:rsid w:val="0051386F"/>
    <w:rsid w:val="0051389E"/>
    <w:rsid w:val="00517167"/>
    <w:rsid w:val="005231B9"/>
    <w:rsid w:val="00523300"/>
    <w:rsid w:val="00523733"/>
    <w:rsid w:val="00523E55"/>
    <w:rsid w:val="00524C35"/>
    <w:rsid w:val="00527EF9"/>
    <w:rsid w:val="00531896"/>
    <w:rsid w:val="005337DB"/>
    <w:rsid w:val="005345C0"/>
    <w:rsid w:val="00534B1C"/>
    <w:rsid w:val="005354BD"/>
    <w:rsid w:val="00537C96"/>
    <w:rsid w:val="005401E0"/>
    <w:rsid w:val="00540221"/>
    <w:rsid w:val="005404A6"/>
    <w:rsid w:val="005419AE"/>
    <w:rsid w:val="00543FD8"/>
    <w:rsid w:val="005461CD"/>
    <w:rsid w:val="00547F81"/>
    <w:rsid w:val="0055166D"/>
    <w:rsid w:val="00554987"/>
    <w:rsid w:val="00554DA8"/>
    <w:rsid w:val="005600F1"/>
    <w:rsid w:val="0056624D"/>
    <w:rsid w:val="00570839"/>
    <w:rsid w:val="00570D26"/>
    <w:rsid w:val="00570E15"/>
    <w:rsid w:val="00570F25"/>
    <w:rsid w:val="0057265A"/>
    <w:rsid w:val="00573A76"/>
    <w:rsid w:val="00573CBD"/>
    <w:rsid w:val="00574C55"/>
    <w:rsid w:val="005753F7"/>
    <w:rsid w:val="00575522"/>
    <w:rsid w:val="00575834"/>
    <w:rsid w:val="005758B0"/>
    <w:rsid w:val="00575DB0"/>
    <w:rsid w:val="00576F9E"/>
    <w:rsid w:val="00580E2F"/>
    <w:rsid w:val="00583265"/>
    <w:rsid w:val="00584A3A"/>
    <w:rsid w:val="00584ADF"/>
    <w:rsid w:val="00585A85"/>
    <w:rsid w:val="00586620"/>
    <w:rsid w:val="00593BC3"/>
    <w:rsid w:val="00594583"/>
    <w:rsid w:val="00594D12"/>
    <w:rsid w:val="00596A14"/>
    <w:rsid w:val="00596FF6"/>
    <w:rsid w:val="0059740D"/>
    <w:rsid w:val="00597DE9"/>
    <w:rsid w:val="00597E7F"/>
    <w:rsid w:val="005A009D"/>
    <w:rsid w:val="005A08E4"/>
    <w:rsid w:val="005A10F1"/>
    <w:rsid w:val="005A13F9"/>
    <w:rsid w:val="005A512A"/>
    <w:rsid w:val="005A5F66"/>
    <w:rsid w:val="005A6319"/>
    <w:rsid w:val="005B17BB"/>
    <w:rsid w:val="005B2F18"/>
    <w:rsid w:val="005B346A"/>
    <w:rsid w:val="005B3838"/>
    <w:rsid w:val="005B4071"/>
    <w:rsid w:val="005B435D"/>
    <w:rsid w:val="005B5023"/>
    <w:rsid w:val="005B59C2"/>
    <w:rsid w:val="005B60F9"/>
    <w:rsid w:val="005C0772"/>
    <w:rsid w:val="005C0CAE"/>
    <w:rsid w:val="005C2750"/>
    <w:rsid w:val="005C4A4A"/>
    <w:rsid w:val="005C658B"/>
    <w:rsid w:val="005D0202"/>
    <w:rsid w:val="005D10A8"/>
    <w:rsid w:val="005D2DBF"/>
    <w:rsid w:val="005D3779"/>
    <w:rsid w:val="005D3F5A"/>
    <w:rsid w:val="005D6217"/>
    <w:rsid w:val="005E01C4"/>
    <w:rsid w:val="005E0EB4"/>
    <w:rsid w:val="005E1AA2"/>
    <w:rsid w:val="005E1F1A"/>
    <w:rsid w:val="005E268C"/>
    <w:rsid w:val="005E2B14"/>
    <w:rsid w:val="005E3EB3"/>
    <w:rsid w:val="005E5E96"/>
    <w:rsid w:val="005E6FE1"/>
    <w:rsid w:val="005F0E26"/>
    <w:rsid w:val="005F1315"/>
    <w:rsid w:val="005F1DE2"/>
    <w:rsid w:val="005F2CBC"/>
    <w:rsid w:val="005F34C6"/>
    <w:rsid w:val="005F3806"/>
    <w:rsid w:val="005F54C0"/>
    <w:rsid w:val="005F5641"/>
    <w:rsid w:val="005F5B71"/>
    <w:rsid w:val="005F6140"/>
    <w:rsid w:val="00600593"/>
    <w:rsid w:val="00600C1D"/>
    <w:rsid w:val="00605AF6"/>
    <w:rsid w:val="00605B83"/>
    <w:rsid w:val="00607546"/>
    <w:rsid w:val="00611338"/>
    <w:rsid w:val="00612CAB"/>
    <w:rsid w:val="0061378E"/>
    <w:rsid w:val="00613BD3"/>
    <w:rsid w:val="00615AA5"/>
    <w:rsid w:val="0061600E"/>
    <w:rsid w:val="0062041A"/>
    <w:rsid w:val="00622EBD"/>
    <w:rsid w:val="006243DA"/>
    <w:rsid w:val="0062497E"/>
    <w:rsid w:val="00624BB5"/>
    <w:rsid w:val="00625ADB"/>
    <w:rsid w:val="00630AF5"/>
    <w:rsid w:val="00631F08"/>
    <w:rsid w:val="00632AF3"/>
    <w:rsid w:val="00633C4C"/>
    <w:rsid w:val="00636BAA"/>
    <w:rsid w:val="00640297"/>
    <w:rsid w:val="006404A4"/>
    <w:rsid w:val="00640EE9"/>
    <w:rsid w:val="0064229F"/>
    <w:rsid w:val="006430FB"/>
    <w:rsid w:val="00644694"/>
    <w:rsid w:val="00646AE4"/>
    <w:rsid w:val="00646F57"/>
    <w:rsid w:val="0064735D"/>
    <w:rsid w:val="0065003D"/>
    <w:rsid w:val="00651230"/>
    <w:rsid w:val="00651387"/>
    <w:rsid w:val="006521E0"/>
    <w:rsid w:val="00653AA5"/>
    <w:rsid w:val="006541CE"/>
    <w:rsid w:val="00654CBC"/>
    <w:rsid w:val="006575C4"/>
    <w:rsid w:val="00660435"/>
    <w:rsid w:val="00660CE0"/>
    <w:rsid w:val="00660D89"/>
    <w:rsid w:val="00661051"/>
    <w:rsid w:val="006625C6"/>
    <w:rsid w:val="006640C8"/>
    <w:rsid w:val="006648AF"/>
    <w:rsid w:val="0067098B"/>
    <w:rsid w:val="00671237"/>
    <w:rsid w:val="00672C5E"/>
    <w:rsid w:val="00673B1E"/>
    <w:rsid w:val="00673F6D"/>
    <w:rsid w:val="00680BE5"/>
    <w:rsid w:val="0068166D"/>
    <w:rsid w:val="006838CB"/>
    <w:rsid w:val="00684610"/>
    <w:rsid w:val="00687B63"/>
    <w:rsid w:val="00690F2A"/>
    <w:rsid w:val="00692767"/>
    <w:rsid w:val="006958FA"/>
    <w:rsid w:val="00696580"/>
    <w:rsid w:val="00697BC2"/>
    <w:rsid w:val="006A0288"/>
    <w:rsid w:val="006A0522"/>
    <w:rsid w:val="006A2716"/>
    <w:rsid w:val="006A356C"/>
    <w:rsid w:val="006A3E12"/>
    <w:rsid w:val="006A5C9E"/>
    <w:rsid w:val="006A68DF"/>
    <w:rsid w:val="006A6C6E"/>
    <w:rsid w:val="006A7111"/>
    <w:rsid w:val="006A7747"/>
    <w:rsid w:val="006B2D4D"/>
    <w:rsid w:val="006B3E1E"/>
    <w:rsid w:val="006B4919"/>
    <w:rsid w:val="006B73D3"/>
    <w:rsid w:val="006C01E8"/>
    <w:rsid w:val="006C1304"/>
    <w:rsid w:val="006C1756"/>
    <w:rsid w:val="006C5A52"/>
    <w:rsid w:val="006C5FF2"/>
    <w:rsid w:val="006C6517"/>
    <w:rsid w:val="006D0082"/>
    <w:rsid w:val="006D0B45"/>
    <w:rsid w:val="006D16B3"/>
    <w:rsid w:val="006D2A7F"/>
    <w:rsid w:val="006D44CF"/>
    <w:rsid w:val="006D483F"/>
    <w:rsid w:val="006E1F75"/>
    <w:rsid w:val="006E2624"/>
    <w:rsid w:val="006E3CBC"/>
    <w:rsid w:val="006E40D2"/>
    <w:rsid w:val="006E5E4A"/>
    <w:rsid w:val="006E6204"/>
    <w:rsid w:val="006F0BB9"/>
    <w:rsid w:val="006F29D0"/>
    <w:rsid w:val="006F3BBD"/>
    <w:rsid w:val="006F54E2"/>
    <w:rsid w:val="006F5ECC"/>
    <w:rsid w:val="006F6DCC"/>
    <w:rsid w:val="006F7021"/>
    <w:rsid w:val="006F762B"/>
    <w:rsid w:val="00701B84"/>
    <w:rsid w:val="00701D2C"/>
    <w:rsid w:val="00702A31"/>
    <w:rsid w:val="00702D11"/>
    <w:rsid w:val="00706752"/>
    <w:rsid w:val="00706CF9"/>
    <w:rsid w:val="00710E94"/>
    <w:rsid w:val="00712CDA"/>
    <w:rsid w:val="00713ECE"/>
    <w:rsid w:val="0071780A"/>
    <w:rsid w:val="00722B71"/>
    <w:rsid w:val="00724137"/>
    <w:rsid w:val="0072453E"/>
    <w:rsid w:val="00725665"/>
    <w:rsid w:val="00726970"/>
    <w:rsid w:val="00726A28"/>
    <w:rsid w:val="007307A4"/>
    <w:rsid w:val="007333F7"/>
    <w:rsid w:val="007344DB"/>
    <w:rsid w:val="00734911"/>
    <w:rsid w:val="00734A60"/>
    <w:rsid w:val="00734E67"/>
    <w:rsid w:val="00735E89"/>
    <w:rsid w:val="0073675B"/>
    <w:rsid w:val="00737C90"/>
    <w:rsid w:val="00737DF1"/>
    <w:rsid w:val="0074010A"/>
    <w:rsid w:val="00740122"/>
    <w:rsid w:val="007417FA"/>
    <w:rsid w:val="007430E4"/>
    <w:rsid w:val="00745750"/>
    <w:rsid w:val="00745DE8"/>
    <w:rsid w:val="00747662"/>
    <w:rsid w:val="00747674"/>
    <w:rsid w:val="00750D81"/>
    <w:rsid w:val="0075149B"/>
    <w:rsid w:val="0075596B"/>
    <w:rsid w:val="00755B83"/>
    <w:rsid w:val="00755BA0"/>
    <w:rsid w:val="007604D3"/>
    <w:rsid w:val="00761058"/>
    <w:rsid w:val="00763487"/>
    <w:rsid w:val="00763EEA"/>
    <w:rsid w:val="00764A94"/>
    <w:rsid w:val="00764EF6"/>
    <w:rsid w:val="00765A69"/>
    <w:rsid w:val="007669E9"/>
    <w:rsid w:val="00766B1D"/>
    <w:rsid w:val="007673EA"/>
    <w:rsid w:val="007702C2"/>
    <w:rsid w:val="00770750"/>
    <w:rsid w:val="00772C13"/>
    <w:rsid w:val="007744C4"/>
    <w:rsid w:val="00774F54"/>
    <w:rsid w:val="007756A6"/>
    <w:rsid w:val="0078044C"/>
    <w:rsid w:val="007809AB"/>
    <w:rsid w:val="00780A53"/>
    <w:rsid w:val="00784483"/>
    <w:rsid w:val="007846B5"/>
    <w:rsid w:val="007857FB"/>
    <w:rsid w:val="007901B8"/>
    <w:rsid w:val="007908DA"/>
    <w:rsid w:val="00792A9B"/>
    <w:rsid w:val="007947EB"/>
    <w:rsid w:val="007970BF"/>
    <w:rsid w:val="0079714B"/>
    <w:rsid w:val="007A208A"/>
    <w:rsid w:val="007A2318"/>
    <w:rsid w:val="007A2434"/>
    <w:rsid w:val="007A3E2A"/>
    <w:rsid w:val="007A47A4"/>
    <w:rsid w:val="007A61E1"/>
    <w:rsid w:val="007A6600"/>
    <w:rsid w:val="007A7CEE"/>
    <w:rsid w:val="007B002D"/>
    <w:rsid w:val="007B223D"/>
    <w:rsid w:val="007B2D41"/>
    <w:rsid w:val="007B2EBF"/>
    <w:rsid w:val="007B2F38"/>
    <w:rsid w:val="007B69CD"/>
    <w:rsid w:val="007B6B4F"/>
    <w:rsid w:val="007C0192"/>
    <w:rsid w:val="007C0748"/>
    <w:rsid w:val="007C0D7D"/>
    <w:rsid w:val="007C1374"/>
    <w:rsid w:val="007C1997"/>
    <w:rsid w:val="007C281A"/>
    <w:rsid w:val="007C297E"/>
    <w:rsid w:val="007C2EE2"/>
    <w:rsid w:val="007C44FC"/>
    <w:rsid w:val="007C6605"/>
    <w:rsid w:val="007C753C"/>
    <w:rsid w:val="007C7ED9"/>
    <w:rsid w:val="007D0CCE"/>
    <w:rsid w:val="007D145E"/>
    <w:rsid w:val="007D4701"/>
    <w:rsid w:val="007D736D"/>
    <w:rsid w:val="007D7C05"/>
    <w:rsid w:val="007E0DDC"/>
    <w:rsid w:val="007E17E5"/>
    <w:rsid w:val="007E4EA8"/>
    <w:rsid w:val="007E55EF"/>
    <w:rsid w:val="007E57AE"/>
    <w:rsid w:val="007F0F7A"/>
    <w:rsid w:val="007F2121"/>
    <w:rsid w:val="007F28A9"/>
    <w:rsid w:val="007F2E91"/>
    <w:rsid w:val="007F3CB8"/>
    <w:rsid w:val="007F40A6"/>
    <w:rsid w:val="007F42CB"/>
    <w:rsid w:val="007F48F8"/>
    <w:rsid w:val="007F56F1"/>
    <w:rsid w:val="007F7DEB"/>
    <w:rsid w:val="00801161"/>
    <w:rsid w:val="0080188B"/>
    <w:rsid w:val="008023E6"/>
    <w:rsid w:val="00802D0B"/>
    <w:rsid w:val="0080429B"/>
    <w:rsid w:val="00804304"/>
    <w:rsid w:val="00805339"/>
    <w:rsid w:val="0080534F"/>
    <w:rsid w:val="008054E8"/>
    <w:rsid w:val="00806740"/>
    <w:rsid w:val="00806BD8"/>
    <w:rsid w:val="00807ADC"/>
    <w:rsid w:val="008123A9"/>
    <w:rsid w:val="0081453A"/>
    <w:rsid w:val="0081504E"/>
    <w:rsid w:val="00817313"/>
    <w:rsid w:val="00817D74"/>
    <w:rsid w:val="00821987"/>
    <w:rsid w:val="00821B1A"/>
    <w:rsid w:val="00822924"/>
    <w:rsid w:val="008248E9"/>
    <w:rsid w:val="00831689"/>
    <w:rsid w:val="00831E93"/>
    <w:rsid w:val="0083202D"/>
    <w:rsid w:val="00834280"/>
    <w:rsid w:val="00836A7E"/>
    <w:rsid w:val="00837CFD"/>
    <w:rsid w:val="00840A0A"/>
    <w:rsid w:val="00841218"/>
    <w:rsid w:val="00841877"/>
    <w:rsid w:val="00841A12"/>
    <w:rsid w:val="00841A7A"/>
    <w:rsid w:val="008448B7"/>
    <w:rsid w:val="00846D95"/>
    <w:rsid w:val="008471E9"/>
    <w:rsid w:val="00851760"/>
    <w:rsid w:val="00854BE2"/>
    <w:rsid w:val="00857092"/>
    <w:rsid w:val="0085742B"/>
    <w:rsid w:val="00857A09"/>
    <w:rsid w:val="00860B7F"/>
    <w:rsid w:val="00863A26"/>
    <w:rsid w:val="00863DAC"/>
    <w:rsid w:val="00864670"/>
    <w:rsid w:val="0086532A"/>
    <w:rsid w:val="00865587"/>
    <w:rsid w:val="00865E1E"/>
    <w:rsid w:val="00866933"/>
    <w:rsid w:val="008674D2"/>
    <w:rsid w:val="0086766E"/>
    <w:rsid w:val="00867FE1"/>
    <w:rsid w:val="00872237"/>
    <w:rsid w:val="008726B2"/>
    <w:rsid w:val="00875049"/>
    <w:rsid w:val="0087554A"/>
    <w:rsid w:val="0087714A"/>
    <w:rsid w:val="00880029"/>
    <w:rsid w:val="00880829"/>
    <w:rsid w:val="00882C93"/>
    <w:rsid w:val="00885275"/>
    <w:rsid w:val="00885FA1"/>
    <w:rsid w:val="00886689"/>
    <w:rsid w:val="0089031A"/>
    <w:rsid w:val="00893C2F"/>
    <w:rsid w:val="00895C28"/>
    <w:rsid w:val="00896FFD"/>
    <w:rsid w:val="008971C2"/>
    <w:rsid w:val="00897228"/>
    <w:rsid w:val="008A3144"/>
    <w:rsid w:val="008A45CC"/>
    <w:rsid w:val="008B0446"/>
    <w:rsid w:val="008B21CD"/>
    <w:rsid w:val="008B573A"/>
    <w:rsid w:val="008B5EA6"/>
    <w:rsid w:val="008B6074"/>
    <w:rsid w:val="008B66CA"/>
    <w:rsid w:val="008C0D7F"/>
    <w:rsid w:val="008C38D7"/>
    <w:rsid w:val="008C49B8"/>
    <w:rsid w:val="008C4AD7"/>
    <w:rsid w:val="008D155C"/>
    <w:rsid w:val="008D17EC"/>
    <w:rsid w:val="008D2F27"/>
    <w:rsid w:val="008D646F"/>
    <w:rsid w:val="008E08B3"/>
    <w:rsid w:val="008E251C"/>
    <w:rsid w:val="008E2C37"/>
    <w:rsid w:val="008E38EC"/>
    <w:rsid w:val="008E77FF"/>
    <w:rsid w:val="008E7F56"/>
    <w:rsid w:val="008F10E0"/>
    <w:rsid w:val="008F1B92"/>
    <w:rsid w:val="008F1FC1"/>
    <w:rsid w:val="008F3DEE"/>
    <w:rsid w:val="008F496F"/>
    <w:rsid w:val="008F4A11"/>
    <w:rsid w:val="008F51CE"/>
    <w:rsid w:val="008F5214"/>
    <w:rsid w:val="008F637A"/>
    <w:rsid w:val="008F70D2"/>
    <w:rsid w:val="00900E96"/>
    <w:rsid w:val="00901D18"/>
    <w:rsid w:val="009033B4"/>
    <w:rsid w:val="0090432E"/>
    <w:rsid w:val="00904386"/>
    <w:rsid w:val="0090552D"/>
    <w:rsid w:val="009058E9"/>
    <w:rsid w:val="00905AAB"/>
    <w:rsid w:val="00906EE4"/>
    <w:rsid w:val="00911125"/>
    <w:rsid w:val="00911DCB"/>
    <w:rsid w:val="00916A0F"/>
    <w:rsid w:val="00917806"/>
    <w:rsid w:val="0091799A"/>
    <w:rsid w:val="00917B7A"/>
    <w:rsid w:val="009210AD"/>
    <w:rsid w:val="00922343"/>
    <w:rsid w:val="009227AC"/>
    <w:rsid w:val="00923DCB"/>
    <w:rsid w:val="00924EFD"/>
    <w:rsid w:val="009251AE"/>
    <w:rsid w:val="00925999"/>
    <w:rsid w:val="009267CD"/>
    <w:rsid w:val="00926C42"/>
    <w:rsid w:val="00926D60"/>
    <w:rsid w:val="00931CB6"/>
    <w:rsid w:val="00932097"/>
    <w:rsid w:val="0093329B"/>
    <w:rsid w:val="00937599"/>
    <w:rsid w:val="009415B8"/>
    <w:rsid w:val="00942834"/>
    <w:rsid w:val="00942D2F"/>
    <w:rsid w:val="0094525A"/>
    <w:rsid w:val="00946371"/>
    <w:rsid w:val="009466C9"/>
    <w:rsid w:val="0095014F"/>
    <w:rsid w:val="009506E7"/>
    <w:rsid w:val="0095141D"/>
    <w:rsid w:val="00952307"/>
    <w:rsid w:val="009549FD"/>
    <w:rsid w:val="009559BB"/>
    <w:rsid w:val="009571E0"/>
    <w:rsid w:val="00957E2F"/>
    <w:rsid w:val="00960393"/>
    <w:rsid w:val="00960789"/>
    <w:rsid w:val="00960F13"/>
    <w:rsid w:val="00961950"/>
    <w:rsid w:val="0096309C"/>
    <w:rsid w:val="00964CDE"/>
    <w:rsid w:val="00965411"/>
    <w:rsid w:val="009659C3"/>
    <w:rsid w:val="00972947"/>
    <w:rsid w:val="00972B93"/>
    <w:rsid w:val="00975122"/>
    <w:rsid w:val="00975835"/>
    <w:rsid w:val="00976586"/>
    <w:rsid w:val="00980479"/>
    <w:rsid w:val="00980A13"/>
    <w:rsid w:val="00980E0B"/>
    <w:rsid w:val="00981322"/>
    <w:rsid w:val="0098440D"/>
    <w:rsid w:val="00984790"/>
    <w:rsid w:val="00986EB4"/>
    <w:rsid w:val="00987736"/>
    <w:rsid w:val="00991C8B"/>
    <w:rsid w:val="009936D7"/>
    <w:rsid w:val="00995FDF"/>
    <w:rsid w:val="00997011"/>
    <w:rsid w:val="00997C97"/>
    <w:rsid w:val="009A0358"/>
    <w:rsid w:val="009A1EEF"/>
    <w:rsid w:val="009A24F5"/>
    <w:rsid w:val="009A4AA7"/>
    <w:rsid w:val="009A70CA"/>
    <w:rsid w:val="009B037E"/>
    <w:rsid w:val="009B099B"/>
    <w:rsid w:val="009B0FB9"/>
    <w:rsid w:val="009B133C"/>
    <w:rsid w:val="009B2660"/>
    <w:rsid w:val="009B2878"/>
    <w:rsid w:val="009B35B0"/>
    <w:rsid w:val="009B3CDF"/>
    <w:rsid w:val="009B404A"/>
    <w:rsid w:val="009B4A8B"/>
    <w:rsid w:val="009B6A17"/>
    <w:rsid w:val="009B77B6"/>
    <w:rsid w:val="009B7CBA"/>
    <w:rsid w:val="009C13B3"/>
    <w:rsid w:val="009C1FBE"/>
    <w:rsid w:val="009C2EFA"/>
    <w:rsid w:val="009C6758"/>
    <w:rsid w:val="009C6DEE"/>
    <w:rsid w:val="009C7283"/>
    <w:rsid w:val="009C7C3C"/>
    <w:rsid w:val="009C7F96"/>
    <w:rsid w:val="009D0066"/>
    <w:rsid w:val="009D0EF3"/>
    <w:rsid w:val="009D17FD"/>
    <w:rsid w:val="009D27D0"/>
    <w:rsid w:val="009D4217"/>
    <w:rsid w:val="009D4CD1"/>
    <w:rsid w:val="009D4E8E"/>
    <w:rsid w:val="009D5007"/>
    <w:rsid w:val="009E05B5"/>
    <w:rsid w:val="009E13C8"/>
    <w:rsid w:val="009E597C"/>
    <w:rsid w:val="009E6FE7"/>
    <w:rsid w:val="009F0DA6"/>
    <w:rsid w:val="009F2216"/>
    <w:rsid w:val="009F3161"/>
    <w:rsid w:val="009F3AED"/>
    <w:rsid w:val="009F5374"/>
    <w:rsid w:val="009F66BD"/>
    <w:rsid w:val="00A00B10"/>
    <w:rsid w:val="00A039F1"/>
    <w:rsid w:val="00A04366"/>
    <w:rsid w:val="00A05EDA"/>
    <w:rsid w:val="00A0610F"/>
    <w:rsid w:val="00A065A6"/>
    <w:rsid w:val="00A07A5B"/>
    <w:rsid w:val="00A07D82"/>
    <w:rsid w:val="00A07EF6"/>
    <w:rsid w:val="00A10041"/>
    <w:rsid w:val="00A1113D"/>
    <w:rsid w:val="00A141C7"/>
    <w:rsid w:val="00A14F37"/>
    <w:rsid w:val="00A16F80"/>
    <w:rsid w:val="00A17851"/>
    <w:rsid w:val="00A20F89"/>
    <w:rsid w:val="00A21220"/>
    <w:rsid w:val="00A213BE"/>
    <w:rsid w:val="00A21A89"/>
    <w:rsid w:val="00A2217D"/>
    <w:rsid w:val="00A25A70"/>
    <w:rsid w:val="00A30370"/>
    <w:rsid w:val="00A32529"/>
    <w:rsid w:val="00A32C31"/>
    <w:rsid w:val="00A339B4"/>
    <w:rsid w:val="00A37D22"/>
    <w:rsid w:val="00A431D6"/>
    <w:rsid w:val="00A4449F"/>
    <w:rsid w:val="00A45033"/>
    <w:rsid w:val="00A470EC"/>
    <w:rsid w:val="00A50DB7"/>
    <w:rsid w:val="00A51D04"/>
    <w:rsid w:val="00A51D28"/>
    <w:rsid w:val="00A51E8E"/>
    <w:rsid w:val="00A56D18"/>
    <w:rsid w:val="00A61EBA"/>
    <w:rsid w:val="00A66420"/>
    <w:rsid w:val="00A6743C"/>
    <w:rsid w:val="00A70552"/>
    <w:rsid w:val="00A70687"/>
    <w:rsid w:val="00A73F03"/>
    <w:rsid w:val="00A755C8"/>
    <w:rsid w:val="00A7577C"/>
    <w:rsid w:val="00A8107A"/>
    <w:rsid w:val="00A82015"/>
    <w:rsid w:val="00A827FE"/>
    <w:rsid w:val="00A82A86"/>
    <w:rsid w:val="00A84734"/>
    <w:rsid w:val="00A85643"/>
    <w:rsid w:val="00A860B6"/>
    <w:rsid w:val="00A87B6B"/>
    <w:rsid w:val="00A87CB4"/>
    <w:rsid w:val="00A90974"/>
    <w:rsid w:val="00A9127B"/>
    <w:rsid w:val="00A92352"/>
    <w:rsid w:val="00A927A1"/>
    <w:rsid w:val="00A95A8A"/>
    <w:rsid w:val="00A97A0C"/>
    <w:rsid w:val="00A97C4C"/>
    <w:rsid w:val="00A97D05"/>
    <w:rsid w:val="00AA027E"/>
    <w:rsid w:val="00AA0F9C"/>
    <w:rsid w:val="00AA1296"/>
    <w:rsid w:val="00AA1DE1"/>
    <w:rsid w:val="00AA314F"/>
    <w:rsid w:val="00AA36E8"/>
    <w:rsid w:val="00AA43B6"/>
    <w:rsid w:val="00AA4687"/>
    <w:rsid w:val="00AA4C91"/>
    <w:rsid w:val="00AA5447"/>
    <w:rsid w:val="00AA5660"/>
    <w:rsid w:val="00AA5BF7"/>
    <w:rsid w:val="00AA7ACF"/>
    <w:rsid w:val="00AB07C7"/>
    <w:rsid w:val="00AB0AAB"/>
    <w:rsid w:val="00AB1FDD"/>
    <w:rsid w:val="00AB3296"/>
    <w:rsid w:val="00AB49C4"/>
    <w:rsid w:val="00AB6D27"/>
    <w:rsid w:val="00AC1D3D"/>
    <w:rsid w:val="00AC1FB3"/>
    <w:rsid w:val="00AC5003"/>
    <w:rsid w:val="00AC511E"/>
    <w:rsid w:val="00AC5147"/>
    <w:rsid w:val="00AC7D3C"/>
    <w:rsid w:val="00AD0CF0"/>
    <w:rsid w:val="00AD3947"/>
    <w:rsid w:val="00AD5F03"/>
    <w:rsid w:val="00AD76B3"/>
    <w:rsid w:val="00AE0FA8"/>
    <w:rsid w:val="00AE1579"/>
    <w:rsid w:val="00AE1F92"/>
    <w:rsid w:val="00AE2158"/>
    <w:rsid w:val="00AE309E"/>
    <w:rsid w:val="00AE3DA2"/>
    <w:rsid w:val="00AE56FA"/>
    <w:rsid w:val="00AE5946"/>
    <w:rsid w:val="00AE6455"/>
    <w:rsid w:val="00AE7053"/>
    <w:rsid w:val="00AF0B23"/>
    <w:rsid w:val="00AF22A4"/>
    <w:rsid w:val="00AF271C"/>
    <w:rsid w:val="00AF4BA9"/>
    <w:rsid w:val="00AF5413"/>
    <w:rsid w:val="00AF63A3"/>
    <w:rsid w:val="00B017D0"/>
    <w:rsid w:val="00B0313C"/>
    <w:rsid w:val="00B03721"/>
    <w:rsid w:val="00B057A7"/>
    <w:rsid w:val="00B07ECE"/>
    <w:rsid w:val="00B100B7"/>
    <w:rsid w:val="00B11FB1"/>
    <w:rsid w:val="00B134DC"/>
    <w:rsid w:val="00B13F84"/>
    <w:rsid w:val="00B1563F"/>
    <w:rsid w:val="00B16C15"/>
    <w:rsid w:val="00B170FA"/>
    <w:rsid w:val="00B2163A"/>
    <w:rsid w:val="00B23DA4"/>
    <w:rsid w:val="00B24878"/>
    <w:rsid w:val="00B24C89"/>
    <w:rsid w:val="00B251AB"/>
    <w:rsid w:val="00B252D3"/>
    <w:rsid w:val="00B26758"/>
    <w:rsid w:val="00B272B4"/>
    <w:rsid w:val="00B2784D"/>
    <w:rsid w:val="00B27EC8"/>
    <w:rsid w:val="00B31283"/>
    <w:rsid w:val="00B32D7B"/>
    <w:rsid w:val="00B346DD"/>
    <w:rsid w:val="00B40745"/>
    <w:rsid w:val="00B414C8"/>
    <w:rsid w:val="00B416CD"/>
    <w:rsid w:val="00B420CB"/>
    <w:rsid w:val="00B42473"/>
    <w:rsid w:val="00B440F7"/>
    <w:rsid w:val="00B44EC7"/>
    <w:rsid w:val="00B45C64"/>
    <w:rsid w:val="00B47B42"/>
    <w:rsid w:val="00B5190E"/>
    <w:rsid w:val="00B52051"/>
    <w:rsid w:val="00B532F5"/>
    <w:rsid w:val="00B567F9"/>
    <w:rsid w:val="00B60530"/>
    <w:rsid w:val="00B632BB"/>
    <w:rsid w:val="00B6376D"/>
    <w:rsid w:val="00B63B08"/>
    <w:rsid w:val="00B650E3"/>
    <w:rsid w:val="00B660F9"/>
    <w:rsid w:val="00B7004A"/>
    <w:rsid w:val="00B73C01"/>
    <w:rsid w:val="00B75274"/>
    <w:rsid w:val="00B753E3"/>
    <w:rsid w:val="00B75C79"/>
    <w:rsid w:val="00B776FB"/>
    <w:rsid w:val="00B8011A"/>
    <w:rsid w:val="00B803CF"/>
    <w:rsid w:val="00B81779"/>
    <w:rsid w:val="00B83930"/>
    <w:rsid w:val="00B83F47"/>
    <w:rsid w:val="00B853FB"/>
    <w:rsid w:val="00B86357"/>
    <w:rsid w:val="00B87A9D"/>
    <w:rsid w:val="00B90288"/>
    <w:rsid w:val="00B937DC"/>
    <w:rsid w:val="00B95957"/>
    <w:rsid w:val="00B967A0"/>
    <w:rsid w:val="00BA0996"/>
    <w:rsid w:val="00BA3208"/>
    <w:rsid w:val="00BA33DF"/>
    <w:rsid w:val="00BA58E6"/>
    <w:rsid w:val="00BA6D67"/>
    <w:rsid w:val="00BA6F6F"/>
    <w:rsid w:val="00BB3E33"/>
    <w:rsid w:val="00BB7C18"/>
    <w:rsid w:val="00BC0AB5"/>
    <w:rsid w:val="00BC1107"/>
    <w:rsid w:val="00BC2E6A"/>
    <w:rsid w:val="00BC39D3"/>
    <w:rsid w:val="00BC442C"/>
    <w:rsid w:val="00BC544C"/>
    <w:rsid w:val="00BC5C0D"/>
    <w:rsid w:val="00BC7389"/>
    <w:rsid w:val="00BD220E"/>
    <w:rsid w:val="00BD4ABF"/>
    <w:rsid w:val="00BD52F9"/>
    <w:rsid w:val="00BD6DCE"/>
    <w:rsid w:val="00BD6DF2"/>
    <w:rsid w:val="00BD7397"/>
    <w:rsid w:val="00BE21F6"/>
    <w:rsid w:val="00BE3A03"/>
    <w:rsid w:val="00BE49CA"/>
    <w:rsid w:val="00BE4C50"/>
    <w:rsid w:val="00BE5B47"/>
    <w:rsid w:val="00BE6D03"/>
    <w:rsid w:val="00BE798D"/>
    <w:rsid w:val="00BE79DB"/>
    <w:rsid w:val="00BE7CD0"/>
    <w:rsid w:val="00BF1DA1"/>
    <w:rsid w:val="00BF35EA"/>
    <w:rsid w:val="00BF3A76"/>
    <w:rsid w:val="00BF402E"/>
    <w:rsid w:val="00BF4DCB"/>
    <w:rsid w:val="00BF5545"/>
    <w:rsid w:val="00BF6AD7"/>
    <w:rsid w:val="00BF78A0"/>
    <w:rsid w:val="00C005AA"/>
    <w:rsid w:val="00C00CB3"/>
    <w:rsid w:val="00C00E75"/>
    <w:rsid w:val="00C00F40"/>
    <w:rsid w:val="00C02303"/>
    <w:rsid w:val="00C02AB9"/>
    <w:rsid w:val="00C036D8"/>
    <w:rsid w:val="00C03B5A"/>
    <w:rsid w:val="00C05090"/>
    <w:rsid w:val="00C0640E"/>
    <w:rsid w:val="00C07696"/>
    <w:rsid w:val="00C0790A"/>
    <w:rsid w:val="00C10223"/>
    <w:rsid w:val="00C10525"/>
    <w:rsid w:val="00C10E67"/>
    <w:rsid w:val="00C13396"/>
    <w:rsid w:val="00C135DE"/>
    <w:rsid w:val="00C13780"/>
    <w:rsid w:val="00C15299"/>
    <w:rsid w:val="00C170D0"/>
    <w:rsid w:val="00C17851"/>
    <w:rsid w:val="00C204A3"/>
    <w:rsid w:val="00C20831"/>
    <w:rsid w:val="00C20A82"/>
    <w:rsid w:val="00C20ED8"/>
    <w:rsid w:val="00C21426"/>
    <w:rsid w:val="00C24E28"/>
    <w:rsid w:val="00C30549"/>
    <w:rsid w:val="00C316B7"/>
    <w:rsid w:val="00C31DD7"/>
    <w:rsid w:val="00C33260"/>
    <w:rsid w:val="00C41931"/>
    <w:rsid w:val="00C47579"/>
    <w:rsid w:val="00C47CF4"/>
    <w:rsid w:val="00C50CC9"/>
    <w:rsid w:val="00C52FDE"/>
    <w:rsid w:val="00C533C9"/>
    <w:rsid w:val="00C537B5"/>
    <w:rsid w:val="00C5385C"/>
    <w:rsid w:val="00C54025"/>
    <w:rsid w:val="00C54369"/>
    <w:rsid w:val="00C54E8E"/>
    <w:rsid w:val="00C6229E"/>
    <w:rsid w:val="00C64C8B"/>
    <w:rsid w:val="00C652EA"/>
    <w:rsid w:val="00C65982"/>
    <w:rsid w:val="00C661C3"/>
    <w:rsid w:val="00C66B85"/>
    <w:rsid w:val="00C670C6"/>
    <w:rsid w:val="00C706EE"/>
    <w:rsid w:val="00C71080"/>
    <w:rsid w:val="00C73C2B"/>
    <w:rsid w:val="00C74822"/>
    <w:rsid w:val="00C7709A"/>
    <w:rsid w:val="00C8044F"/>
    <w:rsid w:val="00C80F20"/>
    <w:rsid w:val="00C80FB4"/>
    <w:rsid w:val="00C8196E"/>
    <w:rsid w:val="00C81AF9"/>
    <w:rsid w:val="00C82CA7"/>
    <w:rsid w:val="00C83AA2"/>
    <w:rsid w:val="00C84A0F"/>
    <w:rsid w:val="00C85241"/>
    <w:rsid w:val="00C85848"/>
    <w:rsid w:val="00C85CD0"/>
    <w:rsid w:val="00C8701A"/>
    <w:rsid w:val="00C90467"/>
    <w:rsid w:val="00C90CC4"/>
    <w:rsid w:val="00C9184C"/>
    <w:rsid w:val="00C93907"/>
    <w:rsid w:val="00C9751C"/>
    <w:rsid w:val="00C9770E"/>
    <w:rsid w:val="00CA07D5"/>
    <w:rsid w:val="00CA1C1F"/>
    <w:rsid w:val="00CA30BD"/>
    <w:rsid w:val="00CA3D0F"/>
    <w:rsid w:val="00CA5F89"/>
    <w:rsid w:val="00CA61EE"/>
    <w:rsid w:val="00CA626C"/>
    <w:rsid w:val="00CA7775"/>
    <w:rsid w:val="00CA7CE3"/>
    <w:rsid w:val="00CB37B8"/>
    <w:rsid w:val="00CB48BC"/>
    <w:rsid w:val="00CB4ECE"/>
    <w:rsid w:val="00CB4F1B"/>
    <w:rsid w:val="00CB58AD"/>
    <w:rsid w:val="00CB5943"/>
    <w:rsid w:val="00CB641B"/>
    <w:rsid w:val="00CB7873"/>
    <w:rsid w:val="00CB79D0"/>
    <w:rsid w:val="00CC1F80"/>
    <w:rsid w:val="00CC228D"/>
    <w:rsid w:val="00CC3537"/>
    <w:rsid w:val="00CC3541"/>
    <w:rsid w:val="00CC3D14"/>
    <w:rsid w:val="00CC3F3A"/>
    <w:rsid w:val="00CC4442"/>
    <w:rsid w:val="00CC5AB4"/>
    <w:rsid w:val="00CC61AF"/>
    <w:rsid w:val="00CC69EA"/>
    <w:rsid w:val="00CD03B9"/>
    <w:rsid w:val="00CD08DB"/>
    <w:rsid w:val="00CD3305"/>
    <w:rsid w:val="00CD4738"/>
    <w:rsid w:val="00CD5D76"/>
    <w:rsid w:val="00CD5E9F"/>
    <w:rsid w:val="00CD5EA9"/>
    <w:rsid w:val="00CE0C48"/>
    <w:rsid w:val="00CE119C"/>
    <w:rsid w:val="00CE1DE8"/>
    <w:rsid w:val="00CE459A"/>
    <w:rsid w:val="00CE7FF1"/>
    <w:rsid w:val="00CF1817"/>
    <w:rsid w:val="00CF1A7E"/>
    <w:rsid w:val="00CF2AD6"/>
    <w:rsid w:val="00CF2B49"/>
    <w:rsid w:val="00CF5771"/>
    <w:rsid w:val="00D02E96"/>
    <w:rsid w:val="00D03D4F"/>
    <w:rsid w:val="00D043A2"/>
    <w:rsid w:val="00D06D8B"/>
    <w:rsid w:val="00D07666"/>
    <w:rsid w:val="00D07857"/>
    <w:rsid w:val="00D10287"/>
    <w:rsid w:val="00D104B6"/>
    <w:rsid w:val="00D12B43"/>
    <w:rsid w:val="00D15C14"/>
    <w:rsid w:val="00D20273"/>
    <w:rsid w:val="00D20C5D"/>
    <w:rsid w:val="00D21B68"/>
    <w:rsid w:val="00D22658"/>
    <w:rsid w:val="00D25D20"/>
    <w:rsid w:val="00D27B1D"/>
    <w:rsid w:val="00D30A5D"/>
    <w:rsid w:val="00D30F8A"/>
    <w:rsid w:val="00D3172B"/>
    <w:rsid w:val="00D31E0A"/>
    <w:rsid w:val="00D32817"/>
    <w:rsid w:val="00D33134"/>
    <w:rsid w:val="00D33286"/>
    <w:rsid w:val="00D3331D"/>
    <w:rsid w:val="00D334BD"/>
    <w:rsid w:val="00D33A18"/>
    <w:rsid w:val="00D35E06"/>
    <w:rsid w:val="00D415CA"/>
    <w:rsid w:val="00D42AC5"/>
    <w:rsid w:val="00D44C67"/>
    <w:rsid w:val="00D50D1F"/>
    <w:rsid w:val="00D543B1"/>
    <w:rsid w:val="00D55453"/>
    <w:rsid w:val="00D55C42"/>
    <w:rsid w:val="00D568DD"/>
    <w:rsid w:val="00D56C43"/>
    <w:rsid w:val="00D5724B"/>
    <w:rsid w:val="00D57A24"/>
    <w:rsid w:val="00D61578"/>
    <w:rsid w:val="00D61EBB"/>
    <w:rsid w:val="00D6363F"/>
    <w:rsid w:val="00D6384C"/>
    <w:rsid w:val="00D66869"/>
    <w:rsid w:val="00D66B1E"/>
    <w:rsid w:val="00D712EA"/>
    <w:rsid w:val="00D71C14"/>
    <w:rsid w:val="00D73C07"/>
    <w:rsid w:val="00D741C5"/>
    <w:rsid w:val="00D76A62"/>
    <w:rsid w:val="00D771F8"/>
    <w:rsid w:val="00D804D0"/>
    <w:rsid w:val="00D818F2"/>
    <w:rsid w:val="00D81D84"/>
    <w:rsid w:val="00D8398B"/>
    <w:rsid w:val="00D83E29"/>
    <w:rsid w:val="00D84346"/>
    <w:rsid w:val="00D853E9"/>
    <w:rsid w:val="00D856F3"/>
    <w:rsid w:val="00D86CF3"/>
    <w:rsid w:val="00D905C1"/>
    <w:rsid w:val="00D90BB3"/>
    <w:rsid w:val="00D9133C"/>
    <w:rsid w:val="00D93790"/>
    <w:rsid w:val="00D965F6"/>
    <w:rsid w:val="00D968B1"/>
    <w:rsid w:val="00D97966"/>
    <w:rsid w:val="00DA2351"/>
    <w:rsid w:val="00DA504B"/>
    <w:rsid w:val="00DA56DB"/>
    <w:rsid w:val="00DA7FE6"/>
    <w:rsid w:val="00DB0E6F"/>
    <w:rsid w:val="00DB20B2"/>
    <w:rsid w:val="00DB2465"/>
    <w:rsid w:val="00DB2863"/>
    <w:rsid w:val="00DB3E52"/>
    <w:rsid w:val="00DB4AB2"/>
    <w:rsid w:val="00DB4C2B"/>
    <w:rsid w:val="00DB5945"/>
    <w:rsid w:val="00DC1360"/>
    <w:rsid w:val="00DC1EE3"/>
    <w:rsid w:val="00DC4BC6"/>
    <w:rsid w:val="00DC5AA6"/>
    <w:rsid w:val="00DC63EA"/>
    <w:rsid w:val="00DD0523"/>
    <w:rsid w:val="00DD2FAB"/>
    <w:rsid w:val="00DE00A3"/>
    <w:rsid w:val="00DE03A8"/>
    <w:rsid w:val="00DE1194"/>
    <w:rsid w:val="00DE2B6B"/>
    <w:rsid w:val="00DE2C77"/>
    <w:rsid w:val="00DE4B6F"/>
    <w:rsid w:val="00DE5C81"/>
    <w:rsid w:val="00DE6A90"/>
    <w:rsid w:val="00DF3114"/>
    <w:rsid w:val="00DF4AB2"/>
    <w:rsid w:val="00DF69BA"/>
    <w:rsid w:val="00E00F94"/>
    <w:rsid w:val="00E01606"/>
    <w:rsid w:val="00E02489"/>
    <w:rsid w:val="00E028A7"/>
    <w:rsid w:val="00E02D95"/>
    <w:rsid w:val="00E0457B"/>
    <w:rsid w:val="00E04995"/>
    <w:rsid w:val="00E05F6D"/>
    <w:rsid w:val="00E06366"/>
    <w:rsid w:val="00E06CFD"/>
    <w:rsid w:val="00E07B50"/>
    <w:rsid w:val="00E11550"/>
    <w:rsid w:val="00E134DD"/>
    <w:rsid w:val="00E16A70"/>
    <w:rsid w:val="00E224EB"/>
    <w:rsid w:val="00E22E5A"/>
    <w:rsid w:val="00E2348E"/>
    <w:rsid w:val="00E24E6F"/>
    <w:rsid w:val="00E250EE"/>
    <w:rsid w:val="00E266F5"/>
    <w:rsid w:val="00E27318"/>
    <w:rsid w:val="00E27CA7"/>
    <w:rsid w:val="00E30774"/>
    <w:rsid w:val="00E32CC9"/>
    <w:rsid w:val="00E3436F"/>
    <w:rsid w:val="00E367BD"/>
    <w:rsid w:val="00E37C48"/>
    <w:rsid w:val="00E37DAE"/>
    <w:rsid w:val="00E45070"/>
    <w:rsid w:val="00E45B64"/>
    <w:rsid w:val="00E460DF"/>
    <w:rsid w:val="00E47C14"/>
    <w:rsid w:val="00E525CA"/>
    <w:rsid w:val="00E53C9A"/>
    <w:rsid w:val="00E54609"/>
    <w:rsid w:val="00E550CE"/>
    <w:rsid w:val="00E554A6"/>
    <w:rsid w:val="00E56814"/>
    <w:rsid w:val="00E575CD"/>
    <w:rsid w:val="00E611BB"/>
    <w:rsid w:val="00E616CF"/>
    <w:rsid w:val="00E659BD"/>
    <w:rsid w:val="00E716E2"/>
    <w:rsid w:val="00E72F94"/>
    <w:rsid w:val="00E73C1B"/>
    <w:rsid w:val="00E74864"/>
    <w:rsid w:val="00E752AB"/>
    <w:rsid w:val="00E75F5F"/>
    <w:rsid w:val="00E77435"/>
    <w:rsid w:val="00E8144B"/>
    <w:rsid w:val="00E82302"/>
    <w:rsid w:val="00E831CA"/>
    <w:rsid w:val="00E8387E"/>
    <w:rsid w:val="00E84096"/>
    <w:rsid w:val="00E85CE4"/>
    <w:rsid w:val="00E86EFE"/>
    <w:rsid w:val="00E903DE"/>
    <w:rsid w:val="00E92339"/>
    <w:rsid w:val="00E924D6"/>
    <w:rsid w:val="00E948BA"/>
    <w:rsid w:val="00E956EC"/>
    <w:rsid w:val="00E96E32"/>
    <w:rsid w:val="00E96E46"/>
    <w:rsid w:val="00E974B5"/>
    <w:rsid w:val="00E97775"/>
    <w:rsid w:val="00E97B96"/>
    <w:rsid w:val="00EA246B"/>
    <w:rsid w:val="00EA312A"/>
    <w:rsid w:val="00EA3A4D"/>
    <w:rsid w:val="00EA6152"/>
    <w:rsid w:val="00EA68AF"/>
    <w:rsid w:val="00EA7C42"/>
    <w:rsid w:val="00EB2B4E"/>
    <w:rsid w:val="00EB4353"/>
    <w:rsid w:val="00EB4373"/>
    <w:rsid w:val="00EB47BD"/>
    <w:rsid w:val="00EB56D0"/>
    <w:rsid w:val="00EB694D"/>
    <w:rsid w:val="00EB6B9B"/>
    <w:rsid w:val="00EC0361"/>
    <w:rsid w:val="00EC0C5A"/>
    <w:rsid w:val="00EC1D41"/>
    <w:rsid w:val="00EC27E3"/>
    <w:rsid w:val="00EC2C79"/>
    <w:rsid w:val="00EC3DE0"/>
    <w:rsid w:val="00EC5463"/>
    <w:rsid w:val="00EC5F0F"/>
    <w:rsid w:val="00ED1814"/>
    <w:rsid w:val="00ED23E0"/>
    <w:rsid w:val="00ED4441"/>
    <w:rsid w:val="00ED45DB"/>
    <w:rsid w:val="00ED4841"/>
    <w:rsid w:val="00EE10A9"/>
    <w:rsid w:val="00EE14B6"/>
    <w:rsid w:val="00EE1633"/>
    <w:rsid w:val="00EE18EA"/>
    <w:rsid w:val="00EE30AB"/>
    <w:rsid w:val="00EE5331"/>
    <w:rsid w:val="00EE580B"/>
    <w:rsid w:val="00EE5DD7"/>
    <w:rsid w:val="00EF0078"/>
    <w:rsid w:val="00EF024B"/>
    <w:rsid w:val="00EF034D"/>
    <w:rsid w:val="00EF03EE"/>
    <w:rsid w:val="00EF0636"/>
    <w:rsid w:val="00EF082C"/>
    <w:rsid w:val="00EF2002"/>
    <w:rsid w:val="00EF48C7"/>
    <w:rsid w:val="00EF52AB"/>
    <w:rsid w:val="00EF5669"/>
    <w:rsid w:val="00EF74C5"/>
    <w:rsid w:val="00EF7DAC"/>
    <w:rsid w:val="00F03F44"/>
    <w:rsid w:val="00F05955"/>
    <w:rsid w:val="00F11722"/>
    <w:rsid w:val="00F13A58"/>
    <w:rsid w:val="00F14192"/>
    <w:rsid w:val="00F17556"/>
    <w:rsid w:val="00F2049B"/>
    <w:rsid w:val="00F21D91"/>
    <w:rsid w:val="00F220A0"/>
    <w:rsid w:val="00F22E78"/>
    <w:rsid w:val="00F239ED"/>
    <w:rsid w:val="00F24564"/>
    <w:rsid w:val="00F248C5"/>
    <w:rsid w:val="00F24DA1"/>
    <w:rsid w:val="00F25920"/>
    <w:rsid w:val="00F25C4C"/>
    <w:rsid w:val="00F25E21"/>
    <w:rsid w:val="00F27EDD"/>
    <w:rsid w:val="00F30E4F"/>
    <w:rsid w:val="00F319CE"/>
    <w:rsid w:val="00F33F46"/>
    <w:rsid w:val="00F34627"/>
    <w:rsid w:val="00F36397"/>
    <w:rsid w:val="00F37AD1"/>
    <w:rsid w:val="00F40393"/>
    <w:rsid w:val="00F433AC"/>
    <w:rsid w:val="00F44857"/>
    <w:rsid w:val="00F45EF5"/>
    <w:rsid w:val="00F52822"/>
    <w:rsid w:val="00F5421E"/>
    <w:rsid w:val="00F543DE"/>
    <w:rsid w:val="00F5498C"/>
    <w:rsid w:val="00F549E5"/>
    <w:rsid w:val="00F61597"/>
    <w:rsid w:val="00F61784"/>
    <w:rsid w:val="00F62476"/>
    <w:rsid w:val="00F63D26"/>
    <w:rsid w:val="00F65282"/>
    <w:rsid w:val="00F66354"/>
    <w:rsid w:val="00F66A56"/>
    <w:rsid w:val="00F700F0"/>
    <w:rsid w:val="00F70497"/>
    <w:rsid w:val="00F7121E"/>
    <w:rsid w:val="00F7136B"/>
    <w:rsid w:val="00F747E8"/>
    <w:rsid w:val="00F753CD"/>
    <w:rsid w:val="00F77021"/>
    <w:rsid w:val="00F771BB"/>
    <w:rsid w:val="00F77B81"/>
    <w:rsid w:val="00F77BD1"/>
    <w:rsid w:val="00F80F5C"/>
    <w:rsid w:val="00F81EBE"/>
    <w:rsid w:val="00F82248"/>
    <w:rsid w:val="00F8515A"/>
    <w:rsid w:val="00F861FD"/>
    <w:rsid w:val="00F86A7F"/>
    <w:rsid w:val="00F87902"/>
    <w:rsid w:val="00F87DD4"/>
    <w:rsid w:val="00F91FBB"/>
    <w:rsid w:val="00F933F8"/>
    <w:rsid w:val="00F96747"/>
    <w:rsid w:val="00F970FA"/>
    <w:rsid w:val="00F9798D"/>
    <w:rsid w:val="00FA0568"/>
    <w:rsid w:val="00FA0D30"/>
    <w:rsid w:val="00FA3DB9"/>
    <w:rsid w:val="00FA53A3"/>
    <w:rsid w:val="00FB089F"/>
    <w:rsid w:val="00FB1F78"/>
    <w:rsid w:val="00FB39C3"/>
    <w:rsid w:val="00FB42AD"/>
    <w:rsid w:val="00FB45AA"/>
    <w:rsid w:val="00FB4F6C"/>
    <w:rsid w:val="00FB73AD"/>
    <w:rsid w:val="00FB7770"/>
    <w:rsid w:val="00FC0292"/>
    <w:rsid w:val="00FC08E1"/>
    <w:rsid w:val="00FC0CD0"/>
    <w:rsid w:val="00FC26E1"/>
    <w:rsid w:val="00FC30DE"/>
    <w:rsid w:val="00FC515B"/>
    <w:rsid w:val="00FC56C5"/>
    <w:rsid w:val="00FC5979"/>
    <w:rsid w:val="00FC695C"/>
    <w:rsid w:val="00FC72AB"/>
    <w:rsid w:val="00FD1614"/>
    <w:rsid w:val="00FD28E6"/>
    <w:rsid w:val="00FD2A23"/>
    <w:rsid w:val="00FD6546"/>
    <w:rsid w:val="00FD6DB4"/>
    <w:rsid w:val="00FE1174"/>
    <w:rsid w:val="00FE19B9"/>
    <w:rsid w:val="00FE24FD"/>
    <w:rsid w:val="00FE38D2"/>
    <w:rsid w:val="00FE4DB2"/>
    <w:rsid w:val="00FE5DB7"/>
    <w:rsid w:val="00FE655C"/>
    <w:rsid w:val="00FE6BFA"/>
    <w:rsid w:val="00FE7A78"/>
    <w:rsid w:val="00FF0305"/>
    <w:rsid w:val="00FF0418"/>
    <w:rsid w:val="00FF07E1"/>
    <w:rsid w:val="00FF0E05"/>
    <w:rsid w:val="00FF0FFA"/>
    <w:rsid w:val="00FF134A"/>
    <w:rsid w:val="00FF1471"/>
    <w:rsid w:val="00FF1B93"/>
    <w:rsid w:val="00FF2F3F"/>
    <w:rsid w:val="00FF3E8D"/>
    <w:rsid w:val="00FF7982"/>
    <w:rsid w:val="00FF7BAD"/>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092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B14"/>
    <w:pPr>
      <w:spacing w:after="200" w:line="276" w:lineRule="auto"/>
    </w:pPr>
    <w:rPr>
      <w:rFonts w:cs="Calibri"/>
      <w:sz w:val="22"/>
      <w:szCs w:val="22"/>
      <w:lang w:val="en-US" w:eastAsia="en-US"/>
    </w:rPr>
  </w:style>
  <w:style w:type="paragraph" w:styleId="Heading1">
    <w:name w:val="heading 1"/>
    <w:basedOn w:val="Normal"/>
    <w:next w:val="Normal"/>
    <w:link w:val="Heading1Char"/>
    <w:uiPriority w:val="99"/>
    <w:qFormat/>
    <w:rsid w:val="0074012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740122"/>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740122"/>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740122"/>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740122"/>
    <w:pPr>
      <w:spacing w:before="240" w:after="60"/>
      <w:outlineLvl w:val="4"/>
    </w:pPr>
    <w:rPr>
      <w:rFonts w:cs="Times New Roman"/>
      <w:b/>
      <w:bCs/>
      <w:i/>
      <w:iCs/>
      <w:sz w:val="26"/>
      <w:szCs w:val="26"/>
    </w:rPr>
  </w:style>
  <w:style w:type="paragraph" w:styleId="Heading6">
    <w:name w:val="heading 6"/>
    <w:basedOn w:val="Normal"/>
    <w:next w:val="Normal"/>
    <w:link w:val="Heading6Char"/>
    <w:uiPriority w:val="99"/>
    <w:qFormat/>
    <w:rsid w:val="00740122"/>
    <w:pPr>
      <w:spacing w:before="240" w:after="60"/>
      <w:outlineLvl w:val="5"/>
    </w:pPr>
    <w:rPr>
      <w:rFonts w:cs="Times New Roman"/>
      <w:b/>
      <w:bCs/>
    </w:rPr>
  </w:style>
  <w:style w:type="paragraph" w:styleId="Heading7">
    <w:name w:val="heading 7"/>
    <w:basedOn w:val="Normal"/>
    <w:next w:val="Normal"/>
    <w:link w:val="Heading7Char"/>
    <w:uiPriority w:val="99"/>
    <w:qFormat/>
    <w:rsid w:val="00740122"/>
    <w:pPr>
      <w:spacing w:before="240" w:after="60"/>
      <w:outlineLvl w:val="6"/>
    </w:pPr>
    <w:rPr>
      <w:rFonts w:cs="Times New Roman"/>
      <w:sz w:val="24"/>
      <w:szCs w:val="24"/>
    </w:rPr>
  </w:style>
  <w:style w:type="paragraph" w:styleId="Heading8">
    <w:name w:val="heading 8"/>
    <w:basedOn w:val="Normal"/>
    <w:next w:val="Normal"/>
    <w:link w:val="Heading8Char"/>
    <w:uiPriority w:val="99"/>
    <w:qFormat/>
    <w:rsid w:val="00740122"/>
    <w:pPr>
      <w:spacing w:before="240" w:after="60"/>
      <w:outlineLvl w:val="7"/>
    </w:pPr>
    <w:rPr>
      <w:rFonts w:cs="Times New Roman"/>
      <w:i/>
      <w:iCs/>
      <w:sz w:val="24"/>
      <w:szCs w:val="24"/>
    </w:rPr>
  </w:style>
  <w:style w:type="paragraph" w:styleId="Heading9">
    <w:name w:val="heading 9"/>
    <w:basedOn w:val="Normal"/>
    <w:next w:val="Normal"/>
    <w:link w:val="Heading9Char"/>
    <w:uiPriority w:val="99"/>
    <w:qFormat/>
    <w:rsid w:val="00740122"/>
    <w:p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40122"/>
    <w:rPr>
      <w:rFonts w:ascii="Cambria" w:hAnsi="Cambria" w:cs="Cambria"/>
      <w:b/>
      <w:bCs/>
      <w:kern w:val="32"/>
      <w:sz w:val="32"/>
      <w:szCs w:val="32"/>
    </w:rPr>
  </w:style>
  <w:style w:type="character" w:customStyle="1" w:styleId="Heading2Char">
    <w:name w:val="Heading 2 Char"/>
    <w:link w:val="Heading2"/>
    <w:uiPriority w:val="99"/>
    <w:locked/>
    <w:rsid w:val="00740122"/>
    <w:rPr>
      <w:rFonts w:ascii="Cambria" w:hAnsi="Cambria" w:cs="Cambria"/>
      <w:b/>
      <w:bCs/>
      <w:i/>
      <w:iCs/>
      <w:sz w:val="28"/>
      <w:szCs w:val="28"/>
    </w:rPr>
  </w:style>
  <w:style w:type="character" w:customStyle="1" w:styleId="Heading3Char">
    <w:name w:val="Heading 3 Char"/>
    <w:link w:val="Heading3"/>
    <w:uiPriority w:val="99"/>
    <w:semiHidden/>
    <w:locked/>
    <w:rsid w:val="00740122"/>
    <w:rPr>
      <w:rFonts w:ascii="Cambria" w:hAnsi="Cambria" w:cs="Cambria"/>
      <w:b/>
      <w:bCs/>
      <w:sz w:val="26"/>
      <w:szCs w:val="26"/>
    </w:rPr>
  </w:style>
  <w:style w:type="character" w:customStyle="1" w:styleId="Heading4Char">
    <w:name w:val="Heading 4 Char"/>
    <w:link w:val="Heading4"/>
    <w:uiPriority w:val="99"/>
    <w:semiHidden/>
    <w:locked/>
    <w:rsid w:val="00740122"/>
    <w:rPr>
      <w:rFonts w:ascii="Calibri" w:hAnsi="Calibri" w:cs="Calibri"/>
      <w:b/>
      <w:bCs/>
      <w:sz w:val="28"/>
      <w:szCs w:val="28"/>
    </w:rPr>
  </w:style>
  <w:style w:type="character" w:customStyle="1" w:styleId="Heading5Char">
    <w:name w:val="Heading 5 Char"/>
    <w:link w:val="Heading5"/>
    <w:uiPriority w:val="99"/>
    <w:semiHidden/>
    <w:locked/>
    <w:rsid w:val="00740122"/>
    <w:rPr>
      <w:rFonts w:ascii="Calibri" w:hAnsi="Calibri" w:cs="Calibri"/>
      <w:b/>
      <w:bCs/>
      <w:i/>
      <w:iCs/>
      <w:sz w:val="26"/>
      <w:szCs w:val="26"/>
    </w:rPr>
  </w:style>
  <w:style w:type="character" w:customStyle="1" w:styleId="Heading6Char">
    <w:name w:val="Heading 6 Char"/>
    <w:link w:val="Heading6"/>
    <w:uiPriority w:val="99"/>
    <w:semiHidden/>
    <w:locked/>
    <w:rsid w:val="00740122"/>
    <w:rPr>
      <w:rFonts w:ascii="Calibri" w:hAnsi="Calibri" w:cs="Calibri"/>
      <w:b/>
      <w:bCs/>
      <w:sz w:val="22"/>
      <w:szCs w:val="22"/>
    </w:rPr>
  </w:style>
  <w:style w:type="character" w:customStyle="1" w:styleId="Heading7Char">
    <w:name w:val="Heading 7 Char"/>
    <w:link w:val="Heading7"/>
    <w:uiPriority w:val="99"/>
    <w:semiHidden/>
    <w:locked/>
    <w:rsid w:val="00740122"/>
    <w:rPr>
      <w:rFonts w:ascii="Calibri" w:hAnsi="Calibri" w:cs="Calibri"/>
      <w:sz w:val="24"/>
      <w:szCs w:val="24"/>
    </w:rPr>
  </w:style>
  <w:style w:type="character" w:customStyle="1" w:styleId="Heading8Char">
    <w:name w:val="Heading 8 Char"/>
    <w:link w:val="Heading8"/>
    <w:uiPriority w:val="99"/>
    <w:semiHidden/>
    <w:locked/>
    <w:rsid w:val="00740122"/>
    <w:rPr>
      <w:rFonts w:ascii="Calibri" w:hAnsi="Calibri" w:cs="Calibri"/>
      <w:i/>
      <w:iCs/>
      <w:sz w:val="24"/>
      <w:szCs w:val="24"/>
    </w:rPr>
  </w:style>
  <w:style w:type="character" w:customStyle="1" w:styleId="Heading9Char">
    <w:name w:val="Heading 9 Char"/>
    <w:link w:val="Heading9"/>
    <w:uiPriority w:val="99"/>
    <w:semiHidden/>
    <w:locked/>
    <w:rsid w:val="00740122"/>
    <w:rPr>
      <w:rFonts w:ascii="Cambria" w:hAnsi="Cambria" w:cs="Cambria"/>
      <w:sz w:val="22"/>
      <w:szCs w:val="22"/>
    </w:rPr>
  </w:style>
  <w:style w:type="paragraph" w:styleId="Header">
    <w:name w:val="header"/>
    <w:basedOn w:val="Normal"/>
    <w:link w:val="HeaderChar"/>
    <w:uiPriority w:val="99"/>
    <w:semiHidden/>
    <w:rsid w:val="00B60530"/>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B60530"/>
  </w:style>
  <w:style w:type="paragraph" w:styleId="Footer">
    <w:name w:val="footer"/>
    <w:basedOn w:val="Normal"/>
    <w:link w:val="FooterChar"/>
    <w:uiPriority w:val="99"/>
    <w:rsid w:val="00B60530"/>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B60530"/>
  </w:style>
  <w:style w:type="character" w:customStyle="1" w:styleId="urtxtemph">
    <w:name w:val="urtxtemph"/>
    <w:basedOn w:val="DefaultParagraphFont"/>
    <w:rsid w:val="00F5421E"/>
  </w:style>
  <w:style w:type="table" w:styleId="TableGrid">
    <w:name w:val="Table Grid"/>
    <w:basedOn w:val="TableNormal"/>
    <w:uiPriority w:val="59"/>
    <w:rsid w:val="007E4EA8"/>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27552"/>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427552"/>
    <w:rPr>
      <w:rFonts w:ascii="Tahoma" w:hAnsi="Tahoma" w:cs="Tahoma"/>
      <w:sz w:val="16"/>
      <w:szCs w:val="16"/>
    </w:rPr>
  </w:style>
  <w:style w:type="character" w:styleId="CommentReference">
    <w:name w:val="annotation reference"/>
    <w:uiPriority w:val="99"/>
    <w:semiHidden/>
    <w:rsid w:val="007E0DDC"/>
    <w:rPr>
      <w:sz w:val="16"/>
      <w:szCs w:val="16"/>
    </w:rPr>
  </w:style>
  <w:style w:type="paragraph" w:styleId="CommentText">
    <w:name w:val="annotation text"/>
    <w:basedOn w:val="Normal"/>
    <w:link w:val="CommentTextChar"/>
    <w:uiPriority w:val="99"/>
    <w:semiHidden/>
    <w:rsid w:val="007E0DDC"/>
    <w:rPr>
      <w:sz w:val="20"/>
      <w:szCs w:val="20"/>
    </w:rPr>
  </w:style>
  <w:style w:type="character" w:customStyle="1" w:styleId="CommentTextChar">
    <w:name w:val="Comment Text Char"/>
    <w:basedOn w:val="DefaultParagraphFont"/>
    <w:link w:val="CommentText"/>
    <w:uiPriority w:val="99"/>
    <w:semiHidden/>
    <w:locked/>
    <w:rsid w:val="007E0DDC"/>
  </w:style>
  <w:style w:type="paragraph" w:styleId="CommentSubject">
    <w:name w:val="annotation subject"/>
    <w:basedOn w:val="CommentText"/>
    <w:next w:val="CommentText"/>
    <w:link w:val="CommentSubjectChar"/>
    <w:uiPriority w:val="99"/>
    <w:semiHidden/>
    <w:rsid w:val="007E0DDC"/>
    <w:rPr>
      <w:rFonts w:cs="Times New Roman"/>
      <w:b/>
      <w:bCs/>
    </w:rPr>
  </w:style>
  <w:style w:type="character" w:customStyle="1" w:styleId="CommentSubjectChar">
    <w:name w:val="Comment Subject Char"/>
    <w:link w:val="CommentSubject"/>
    <w:uiPriority w:val="99"/>
    <w:semiHidden/>
    <w:locked/>
    <w:rsid w:val="007E0DDC"/>
    <w:rPr>
      <w:b/>
      <w:bCs/>
    </w:rPr>
  </w:style>
  <w:style w:type="paragraph" w:styleId="Revision">
    <w:name w:val="Revision"/>
    <w:hidden/>
    <w:uiPriority w:val="99"/>
    <w:semiHidden/>
    <w:rsid w:val="00817313"/>
    <w:rPr>
      <w:rFonts w:cs="Calibri"/>
      <w:sz w:val="22"/>
      <w:szCs w:val="22"/>
      <w:lang w:val="en-US" w:eastAsia="en-US"/>
    </w:rPr>
  </w:style>
  <w:style w:type="paragraph" w:customStyle="1" w:styleId="Default">
    <w:name w:val="Default"/>
    <w:uiPriority w:val="99"/>
    <w:rsid w:val="00162712"/>
    <w:pPr>
      <w:autoSpaceDE w:val="0"/>
      <w:autoSpaceDN w:val="0"/>
      <w:adjustRightInd w:val="0"/>
    </w:pPr>
    <w:rPr>
      <w:rFonts w:ascii="Times New Roman" w:hAnsi="Times New Roman"/>
      <w:color w:val="000000"/>
      <w:sz w:val="24"/>
      <w:szCs w:val="24"/>
      <w:lang w:val="en-US" w:eastAsia="en-US"/>
    </w:rPr>
  </w:style>
  <w:style w:type="numbering" w:styleId="111111">
    <w:name w:val="Outline List 2"/>
    <w:basedOn w:val="NoList"/>
    <w:uiPriority w:val="99"/>
    <w:semiHidden/>
    <w:unhideWhenUsed/>
    <w:rsid w:val="00A5429B"/>
    <w:pPr>
      <w:numPr>
        <w:numId w:val="15"/>
      </w:numPr>
    </w:pPr>
  </w:style>
  <w:style w:type="numbering" w:customStyle="1" w:styleId="Style1">
    <w:name w:val="Style1"/>
    <w:uiPriority w:val="99"/>
    <w:rsid w:val="00A5429B"/>
    <w:pPr>
      <w:numPr>
        <w:numId w:val="4"/>
      </w:numPr>
    </w:pPr>
  </w:style>
  <w:style w:type="character" w:styleId="Hyperlink">
    <w:name w:val="Hyperlink"/>
    <w:uiPriority w:val="99"/>
    <w:unhideWhenUsed/>
    <w:rsid w:val="004F3A8F"/>
    <w:rPr>
      <w:color w:val="0000FF"/>
      <w:u w:val="single"/>
    </w:rPr>
  </w:style>
  <w:style w:type="paragraph" w:styleId="FootnoteText">
    <w:name w:val="footnote text"/>
    <w:aliases w:val="Footnote,Fußnote,WB-Fußnotentext,WB-Fußnotentext Char Char,Footnote Text_1,Fodnotetekst Tegn Tegn Tegn Tegn Tegn Tegn Tegn Char Char,Fodnotetekst Tegn Tegn Tegn Tegn Tegn Tegn Tegn Char Char Char Char,Fußnotente"/>
    <w:basedOn w:val="Normal"/>
    <w:link w:val="FootnoteTextChar1"/>
    <w:uiPriority w:val="99"/>
    <w:rsid w:val="00B90288"/>
    <w:pPr>
      <w:spacing w:after="120" w:line="312" w:lineRule="auto"/>
      <w:jc w:val="both"/>
    </w:pPr>
    <w:rPr>
      <w:rFonts w:ascii="Verdana" w:eastAsia="S" w:hAnsi="Verdana" w:cs="Times New Roman"/>
      <w:sz w:val="20"/>
      <w:szCs w:val="20"/>
      <w:lang w:val="de-DE" w:eastAsia="de-DE"/>
    </w:rPr>
  </w:style>
  <w:style w:type="character" w:customStyle="1" w:styleId="FootnoteTextChar">
    <w:name w:val="Footnote Text Char"/>
    <w:uiPriority w:val="99"/>
    <w:rsid w:val="00B90288"/>
    <w:rPr>
      <w:rFonts w:cs="Calibri"/>
    </w:rPr>
  </w:style>
  <w:style w:type="character" w:customStyle="1" w:styleId="FootnoteTextChar1">
    <w:name w:val="Footnote Text Char1"/>
    <w:aliases w:val="Footnote Char,Fußnote Char,WB-Fußnotentext Char,WB-Fußnotentext Char Char Char,Footnote Text_1 Char,Fodnotetekst Tegn Tegn Tegn Tegn Tegn Tegn Tegn Char Char Char,Fußnotente Char"/>
    <w:link w:val="FootnoteText"/>
    <w:uiPriority w:val="99"/>
    <w:semiHidden/>
    <w:locked/>
    <w:rsid w:val="00B90288"/>
    <w:rPr>
      <w:rFonts w:ascii="Verdana" w:eastAsia="S" w:hAnsi="Verdana" w:cs="Verdana"/>
      <w:lang w:val="de-DE" w:eastAsia="de-DE"/>
    </w:rPr>
  </w:style>
  <w:style w:type="character" w:customStyle="1" w:styleId="apple-style-span">
    <w:name w:val="apple-style-span"/>
    <w:rsid w:val="00072370"/>
  </w:style>
  <w:style w:type="paragraph" w:styleId="ListParagraph">
    <w:name w:val="List Paragraph"/>
    <w:basedOn w:val="Normal"/>
    <w:uiPriority w:val="34"/>
    <w:qFormat/>
    <w:rsid w:val="00072370"/>
    <w:pPr>
      <w:ind w:left="720"/>
      <w:contextualSpacing/>
    </w:pPr>
    <w:rPr>
      <w:rFonts w:cs="Times New Roman"/>
      <w:lang w:val="ru-RU"/>
    </w:rPr>
  </w:style>
  <w:style w:type="table" w:styleId="LightList-Accent1">
    <w:name w:val="Light List Accent 1"/>
    <w:basedOn w:val="TableNormal"/>
    <w:uiPriority w:val="61"/>
    <w:rsid w:val="0059740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5974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Grid">
    <w:name w:val="Light Grid"/>
    <w:basedOn w:val="TableNormal"/>
    <w:uiPriority w:val="62"/>
    <w:rsid w:val="0059740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otnoteReference">
    <w:name w:val="footnote reference"/>
    <w:uiPriority w:val="99"/>
    <w:unhideWhenUsed/>
    <w:rsid w:val="0061600E"/>
    <w:rPr>
      <w:vertAlign w:val="superscript"/>
    </w:rPr>
  </w:style>
  <w:style w:type="paragraph" w:styleId="TOCHeading">
    <w:name w:val="TOC Heading"/>
    <w:basedOn w:val="Heading1"/>
    <w:next w:val="Normal"/>
    <w:uiPriority w:val="39"/>
    <w:semiHidden/>
    <w:unhideWhenUsed/>
    <w:qFormat/>
    <w:rsid w:val="0056624D"/>
    <w:pPr>
      <w:keepLines/>
      <w:spacing w:before="480" w:after="0"/>
      <w:outlineLvl w:val="9"/>
    </w:pPr>
    <w:rPr>
      <w:rFonts w:eastAsia="Times New Roman"/>
      <w:color w:val="365F91"/>
      <w:kern w:val="0"/>
      <w:sz w:val="28"/>
      <w:szCs w:val="28"/>
      <w:lang w:val="uk-UA" w:eastAsia="uk-UA"/>
    </w:rPr>
  </w:style>
  <w:style w:type="paragraph" w:styleId="TOC1">
    <w:name w:val="toc 1"/>
    <w:basedOn w:val="Normal"/>
    <w:next w:val="Normal"/>
    <w:autoRedefine/>
    <w:uiPriority w:val="39"/>
    <w:locked/>
    <w:rsid w:val="0056624D"/>
  </w:style>
  <w:style w:type="paragraph" w:styleId="TOC2">
    <w:name w:val="toc 2"/>
    <w:basedOn w:val="Normal"/>
    <w:next w:val="Normal"/>
    <w:autoRedefine/>
    <w:uiPriority w:val="39"/>
    <w:locked/>
    <w:rsid w:val="00355425"/>
    <w:pPr>
      <w:ind w:left="220"/>
    </w:pPr>
  </w:style>
  <w:style w:type="character" w:styleId="FollowedHyperlink">
    <w:name w:val="FollowedHyperlink"/>
    <w:basedOn w:val="DefaultParagraphFont"/>
    <w:uiPriority w:val="99"/>
    <w:semiHidden/>
    <w:unhideWhenUsed/>
    <w:rsid w:val="0037037C"/>
    <w:rPr>
      <w:color w:val="800080" w:themeColor="followedHyperlink"/>
      <w:u w:val="single"/>
    </w:rPr>
  </w:style>
  <w:style w:type="character" w:customStyle="1" w:styleId="titleauthoretc4">
    <w:name w:val="titleauthoretc4"/>
    <w:basedOn w:val="DefaultParagraphFont"/>
    <w:rsid w:val="00C8044F"/>
  </w:style>
  <w:style w:type="table" w:styleId="LightList">
    <w:name w:val="Light List"/>
    <w:basedOn w:val="TableNormal"/>
    <w:uiPriority w:val="61"/>
    <w:rsid w:val="00146B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uthorname">
    <w:name w:val="authorname"/>
    <w:basedOn w:val="DefaultParagraphFont"/>
    <w:rsid w:val="00000851"/>
  </w:style>
  <w:style w:type="paragraph" w:styleId="NoSpacing">
    <w:name w:val="No Spacing"/>
    <w:uiPriority w:val="1"/>
    <w:qFormat/>
    <w:rsid w:val="00000851"/>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031D89"/>
    <w:rPr>
      <w:color w:val="808080"/>
    </w:rPr>
  </w:style>
  <w:style w:type="character" w:styleId="Emphasis">
    <w:name w:val="Emphasis"/>
    <w:basedOn w:val="DefaultParagraphFont"/>
    <w:qFormat/>
    <w:locked/>
    <w:rsid w:val="00E96E32"/>
    <w:rPr>
      <w:i/>
      <w:iCs/>
    </w:rPr>
  </w:style>
  <w:style w:type="paragraph" w:styleId="DocumentMap">
    <w:name w:val="Document Map"/>
    <w:basedOn w:val="Normal"/>
    <w:link w:val="DocumentMapChar"/>
    <w:uiPriority w:val="99"/>
    <w:semiHidden/>
    <w:unhideWhenUsed/>
    <w:rsid w:val="00B8011A"/>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B8011A"/>
    <w:rPr>
      <w:rFonts w:ascii="Lucida Grande" w:hAnsi="Lucida Grande" w:cs="Calibri"/>
      <w:sz w:val="24"/>
      <w:szCs w:val="24"/>
      <w:lang w:val="en-US" w:eastAsia="en-US"/>
    </w:rPr>
  </w:style>
  <w:style w:type="character" w:styleId="UnresolvedMention">
    <w:name w:val="Unresolved Mention"/>
    <w:basedOn w:val="DefaultParagraphFont"/>
    <w:uiPriority w:val="99"/>
    <w:semiHidden/>
    <w:unhideWhenUsed/>
    <w:rsid w:val="00ED45DB"/>
    <w:rPr>
      <w:color w:val="808080"/>
      <w:shd w:val="clear" w:color="auto" w:fill="E6E6E6"/>
    </w:rPr>
  </w:style>
  <w:style w:type="character" w:customStyle="1" w:styleId="fontstyle01">
    <w:name w:val="fontstyle01"/>
    <w:basedOn w:val="DefaultParagraphFont"/>
    <w:rsid w:val="00C83AA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83AA2"/>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6033">
      <w:bodyDiv w:val="1"/>
      <w:marLeft w:val="0"/>
      <w:marRight w:val="0"/>
      <w:marTop w:val="0"/>
      <w:marBottom w:val="0"/>
      <w:divBdr>
        <w:top w:val="none" w:sz="0" w:space="0" w:color="auto"/>
        <w:left w:val="none" w:sz="0" w:space="0" w:color="auto"/>
        <w:bottom w:val="none" w:sz="0" w:space="0" w:color="auto"/>
        <w:right w:val="none" w:sz="0" w:space="0" w:color="auto"/>
      </w:divBdr>
    </w:div>
    <w:div w:id="56056872">
      <w:bodyDiv w:val="1"/>
      <w:marLeft w:val="0"/>
      <w:marRight w:val="0"/>
      <w:marTop w:val="0"/>
      <w:marBottom w:val="0"/>
      <w:divBdr>
        <w:top w:val="none" w:sz="0" w:space="0" w:color="auto"/>
        <w:left w:val="none" w:sz="0" w:space="0" w:color="auto"/>
        <w:bottom w:val="none" w:sz="0" w:space="0" w:color="auto"/>
        <w:right w:val="none" w:sz="0" w:space="0" w:color="auto"/>
      </w:divBdr>
    </w:div>
    <w:div w:id="80218764">
      <w:bodyDiv w:val="1"/>
      <w:marLeft w:val="0"/>
      <w:marRight w:val="0"/>
      <w:marTop w:val="0"/>
      <w:marBottom w:val="0"/>
      <w:divBdr>
        <w:top w:val="none" w:sz="0" w:space="0" w:color="auto"/>
        <w:left w:val="none" w:sz="0" w:space="0" w:color="auto"/>
        <w:bottom w:val="none" w:sz="0" w:space="0" w:color="auto"/>
        <w:right w:val="none" w:sz="0" w:space="0" w:color="auto"/>
      </w:divBdr>
    </w:div>
    <w:div w:id="132334818">
      <w:bodyDiv w:val="1"/>
      <w:marLeft w:val="0"/>
      <w:marRight w:val="0"/>
      <w:marTop w:val="0"/>
      <w:marBottom w:val="0"/>
      <w:divBdr>
        <w:top w:val="none" w:sz="0" w:space="0" w:color="auto"/>
        <w:left w:val="none" w:sz="0" w:space="0" w:color="auto"/>
        <w:bottom w:val="none" w:sz="0" w:space="0" w:color="auto"/>
        <w:right w:val="none" w:sz="0" w:space="0" w:color="auto"/>
      </w:divBdr>
    </w:div>
    <w:div w:id="140319159">
      <w:bodyDiv w:val="1"/>
      <w:marLeft w:val="0"/>
      <w:marRight w:val="0"/>
      <w:marTop w:val="0"/>
      <w:marBottom w:val="0"/>
      <w:divBdr>
        <w:top w:val="none" w:sz="0" w:space="0" w:color="auto"/>
        <w:left w:val="none" w:sz="0" w:space="0" w:color="auto"/>
        <w:bottom w:val="none" w:sz="0" w:space="0" w:color="auto"/>
        <w:right w:val="none" w:sz="0" w:space="0" w:color="auto"/>
      </w:divBdr>
    </w:div>
    <w:div w:id="146746000">
      <w:bodyDiv w:val="1"/>
      <w:marLeft w:val="0"/>
      <w:marRight w:val="0"/>
      <w:marTop w:val="0"/>
      <w:marBottom w:val="0"/>
      <w:divBdr>
        <w:top w:val="none" w:sz="0" w:space="0" w:color="auto"/>
        <w:left w:val="none" w:sz="0" w:space="0" w:color="auto"/>
        <w:bottom w:val="none" w:sz="0" w:space="0" w:color="auto"/>
        <w:right w:val="none" w:sz="0" w:space="0" w:color="auto"/>
      </w:divBdr>
    </w:div>
    <w:div w:id="148789249">
      <w:bodyDiv w:val="1"/>
      <w:marLeft w:val="0"/>
      <w:marRight w:val="0"/>
      <w:marTop w:val="0"/>
      <w:marBottom w:val="0"/>
      <w:divBdr>
        <w:top w:val="none" w:sz="0" w:space="0" w:color="auto"/>
        <w:left w:val="none" w:sz="0" w:space="0" w:color="auto"/>
        <w:bottom w:val="none" w:sz="0" w:space="0" w:color="auto"/>
        <w:right w:val="none" w:sz="0" w:space="0" w:color="auto"/>
      </w:divBdr>
    </w:div>
    <w:div w:id="166943381">
      <w:bodyDiv w:val="1"/>
      <w:marLeft w:val="0"/>
      <w:marRight w:val="0"/>
      <w:marTop w:val="0"/>
      <w:marBottom w:val="0"/>
      <w:divBdr>
        <w:top w:val="none" w:sz="0" w:space="0" w:color="auto"/>
        <w:left w:val="none" w:sz="0" w:space="0" w:color="auto"/>
        <w:bottom w:val="none" w:sz="0" w:space="0" w:color="auto"/>
        <w:right w:val="none" w:sz="0" w:space="0" w:color="auto"/>
      </w:divBdr>
    </w:div>
    <w:div w:id="314527186">
      <w:bodyDiv w:val="1"/>
      <w:marLeft w:val="0"/>
      <w:marRight w:val="0"/>
      <w:marTop w:val="0"/>
      <w:marBottom w:val="0"/>
      <w:divBdr>
        <w:top w:val="none" w:sz="0" w:space="0" w:color="auto"/>
        <w:left w:val="none" w:sz="0" w:space="0" w:color="auto"/>
        <w:bottom w:val="none" w:sz="0" w:space="0" w:color="auto"/>
        <w:right w:val="none" w:sz="0" w:space="0" w:color="auto"/>
      </w:divBdr>
    </w:div>
    <w:div w:id="317416283">
      <w:bodyDiv w:val="1"/>
      <w:marLeft w:val="0"/>
      <w:marRight w:val="0"/>
      <w:marTop w:val="0"/>
      <w:marBottom w:val="0"/>
      <w:divBdr>
        <w:top w:val="none" w:sz="0" w:space="0" w:color="auto"/>
        <w:left w:val="none" w:sz="0" w:space="0" w:color="auto"/>
        <w:bottom w:val="none" w:sz="0" w:space="0" w:color="auto"/>
        <w:right w:val="none" w:sz="0" w:space="0" w:color="auto"/>
      </w:divBdr>
    </w:div>
    <w:div w:id="389689883">
      <w:bodyDiv w:val="1"/>
      <w:marLeft w:val="0"/>
      <w:marRight w:val="0"/>
      <w:marTop w:val="0"/>
      <w:marBottom w:val="0"/>
      <w:divBdr>
        <w:top w:val="none" w:sz="0" w:space="0" w:color="auto"/>
        <w:left w:val="none" w:sz="0" w:space="0" w:color="auto"/>
        <w:bottom w:val="none" w:sz="0" w:space="0" w:color="auto"/>
        <w:right w:val="none" w:sz="0" w:space="0" w:color="auto"/>
      </w:divBdr>
    </w:div>
    <w:div w:id="402416243">
      <w:bodyDiv w:val="1"/>
      <w:marLeft w:val="0"/>
      <w:marRight w:val="0"/>
      <w:marTop w:val="0"/>
      <w:marBottom w:val="0"/>
      <w:divBdr>
        <w:top w:val="none" w:sz="0" w:space="0" w:color="auto"/>
        <w:left w:val="none" w:sz="0" w:space="0" w:color="auto"/>
        <w:bottom w:val="none" w:sz="0" w:space="0" w:color="auto"/>
        <w:right w:val="none" w:sz="0" w:space="0" w:color="auto"/>
      </w:divBdr>
    </w:div>
    <w:div w:id="420108713">
      <w:bodyDiv w:val="1"/>
      <w:marLeft w:val="0"/>
      <w:marRight w:val="0"/>
      <w:marTop w:val="0"/>
      <w:marBottom w:val="0"/>
      <w:divBdr>
        <w:top w:val="none" w:sz="0" w:space="0" w:color="auto"/>
        <w:left w:val="none" w:sz="0" w:space="0" w:color="auto"/>
        <w:bottom w:val="none" w:sz="0" w:space="0" w:color="auto"/>
        <w:right w:val="none" w:sz="0" w:space="0" w:color="auto"/>
      </w:divBdr>
    </w:div>
    <w:div w:id="461385549">
      <w:bodyDiv w:val="1"/>
      <w:marLeft w:val="0"/>
      <w:marRight w:val="0"/>
      <w:marTop w:val="0"/>
      <w:marBottom w:val="0"/>
      <w:divBdr>
        <w:top w:val="none" w:sz="0" w:space="0" w:color="auto"/>
        <w:left w:val="none" w:sz="0" w:space="0" w:color="auto"/>
        <w:bottom w:val="none" w:sz="0" w:space="0" w:color="auto"/>
        <w:right w:val="none" w:sz="0" w:space="0" w:color="auto"/>
      </w:divBdr>
    </w:div>
    <w:div w:id="478958025">
      <w:bodyDiv w:val="1"/>
      <w:marLeft w:val="0"/>
      <w:marRight w:val="0"/>
      <w:marTop w:val="0"/>
      <w:marBottom w:val="0"/>
      <w:divBdr>
        <w:top w:val="none" w:sz="0" w:space="0" w:color="auto"/>
        <w:left w:val="none" w:sz="0" w:space="0" w:color="auto"/>
        <w:bottom w:val="none" w:sz="0" w:space="0" w:color="auto"/>
        <w:right w:val="none" w:sz="0" w:space="0" w:color="auto"/>
      </w:divBdr>
    </w:div>
    <w:div w:id="483814491">
      <w:bodyDiv w:val="1"/>
      <w:marLeft w:val="0"/>
      <w:marRight w:val="0"/>
      <w:marTop w:val="0"/>
      <w:marBottom w:val="0"/>
      <w:divBdr>
        <w:top w:val="none" w:sz="0" w:space="0" w:color="auto"/>
        <w:left w:val="none" w:sz="0" w:space="0" w:color="auto"/>
        <w:bottom w:val="none" w:sz="0" w:space="0" w:color="auto"/>
        <w:right w:val="none" w:sz="0" w:space="0" w:color="auto"/>
      </w:divBdr>
    </w:div>
    <w:div w:id="490682786">
      <w:bodyDiv w:val="1"/>
      <w:marLeft w:val="0"/>
      <w:marRight w:val="0"/>
      <w:marTop w:val="0"/>
      <w:marBottom w:val="0"/>
      <w:divBdr>
        <w:top w:val="none" w:sz="0" w:space="0" w:color="auto"/>
        <w:left w:val="none" w:sz="0" w:space="0" w:color="auto"/>
        <w:bottom w:val="none" w:sz="0" w:space="0" w:color="auto"/>
        <w:right w:val="none" w:sz="0" w:space="0" w:color="auto"/>
      </w:divBdr>
    </w:div>
    <w:div w:id="502936623">
      <w:bodyDiv w:val="1"/>
      <w:marLeft w:val="0"/>
      <w:marRight w:val="0"/>
      <w:marTop w:val="0"/>
      <w:marBottom w:val="0"/>
      <w:divBdr>
        <w:top w:val="none" w:sz="0" w:space="0" w:color="auto"/>
        <w:left w:val="none" w:sz="0" w:space="0" w:color="auto"/>
        <w:bottom w:val="none" w:sz="0" w:space="0" w:color="auto"/>
        <w:right w:val="none" w:sz="0" w:space="0" w:color="auto"/>
      </w:divBdr>
    </w:div>
    <w:div w:id="593712522">
      <w:bodyDiv w:val="1"/>
      <w:marLeft w:val="0"/>
      <w:marRight w:val="0"/>
      <w:marTop w:val="0"/>
      <w:marBottom w:val="0"/>
      <w:divBdr>
        <w:top w:val="none" w:sz="0" w:space="0" w:color="auto"/>
        <w:left w:val="none" w:sz="0" w:space="0" w:color="auto"/>
        <w:bottom w:val="none" w:sz="0" w:space="0" w:color="auto"/>
        <w:right w:val="none" w:sz="0" w:space="0" w:color="auto"/>
      </w:divBdr>
    </w:div>
    <w:div w:id="634872218">
      <w:bodyDiv w:val="1"/>
      <w:marLeft w:val="0"/>
      <w:marRight w:val="0"/>
      <w:marTop w:val="0"/>
      <w:marBottom w:val="0"/>
      <w:divBdr>
        <w:top w:val="none" w:sz="0" w:space="0" w:color="auto"/>
        <w:left w:val="none" w:sz="0" w:space="0" w:color="auto"/>
        <w:bottom w:val="none" w:sz="0" w:space="0" w:color="auto"/>
        <w:right w:val="none" w:sz="0" w:space="0" w:color="auto"/>
      </w:divBdr>
    </w:div>
    <w:div w:id="757793296">
      <w:bodyDiv w:val="1"/>
      <w:marLeft w:val="0"/>
      <w:marRight w:val="0"/>
      <w:marTop w:val="0"/>
      <w:marBottom w:val="0"/>
      <w:divBdr>
        <w:top w:val="none" w:sz="0" w:space="0" w:color="auto"/>
        <w:left w:val="none" w:sz="0" w:space="0" w:color="auto"/>
        <w:bottom w:val="none" w:sz="0" w:space="0" w:color="auto"/>
        <w:right w:val="none" w:sz="0" w:space="0" w:color="auto"/>
      </w:divBdr>
    </w:div>
    <w:div w:id="773597377">
      <w:bodyDiv w:val="1"/>
      <w:marLeft w:val="0"/>
      <w:marRight w:val="0"/>
      <w:marTop w:val="0"/>
      <w:marBottom w:val="0"/>
      <w:divBdr>
        <w:top w:val="none" w:sz="0" w:space="0" w:color="auto"/>
        <w:left w:val="none" w:sz="0" w:space="0" w:color="auto"/>
        <w:bottom w:val="none" w:sz="0" w:space="0" w:color="auto"/>
        <w:right w:val="none" w:sz="0" w:space="0" w:color="auto"/>
      </w:divBdr>
    </w:div>
    <w:div w:id="861550789">
      <w:bodyDiv w:val="1"/>
      <w:marLeft w:val="0"/>
      <w:marRight w:val="0"/>
      <w:marTop w:val="0"/>
      <w:marBottom w:val="0"/>
      <w:divBdr>
        <w:top w:val="none" w:sz="0" w:space="0" w:color="auto"/>
        <w:left w:val="none" w:sz="0" w:space="0" w:color="auto"/>
        <w:bottom w:val="none" w:sz="0" w:space="0" w:color="auto"/>
        <w:right w:val="none" w:sz="0" w:space="0" w:color="auto"/>
      </w:divBdr>
    </w:div>
    <w:div w:id="884948949">
      <w:bodyDiv w:val="1"/>
      <w:marLeft w:val="0"/>
      <w:marRight w:val="0"/>
      <w:marTop w:val="0"/>
      <w:marBottom w:val="0"/>
      <w:divBdr>
        <w:top w:val="none" w:sz="0" w:space="0" w:color="auto"/>
        <w:left w:val="none" w:sz="0" w:space="0" w:color="auto"/>
        <w:bottom w:val="none" w:sz="0" w:space="0" w:color="auto"/>
        <w:right w:val="none" w:sz="0" w:space="0" w:color="auto"/>
      </w:divBdr>
    </w:div>
    <w:div w:id="952635886">
      <w:bodyDiv w:val="1"/>
      <w:marLeft w:val="0"/>
      <w:marRight w:val="0"/>
      <w:marTop w:val="0"/>
      <w:marBottom w:val="0"/>
      <w:divBdr>
        <w:top w:val="none" w:sz="0" w:space="0" w:color="auto"/>
        <w:left w:val="none" w:sz="0" w:space="0" w:color="auto"/>
        <w:bottom w:val="none" w:sz="0" w:space="0" w:color="auto"/>
        <w:right w:val="none" w:sz="0" w:space="0" w:color="auto"/>
      </w:divBdr>
    </w:div>
    <w:div w:id="994723570">
      <w:bodyDiv w:val="1"/>
      <w:marLeft w:val="0"/>
      <w:marRight w:val="0"/>
      <w:marTop w:val="0"/>
      <w:marBottom w:val="0"/>
      <w:divBdr>
        <w:top w:val="none" w:sz="0" w:space="0" w:color="auto"/>
        <w:left w:val="none" w:sz="0" w:space="0" w:color="auto"/>
        <w:bottom w:val="none" w:sz="0" w:space="0" w:color="auto"/>
        <w:right w:val="none" w:sz="0" w:space="0" w:color="auto"/>
      </w:divBdr>
    </w:div>
    <w:div w:id="996031442">
      <w:bodyDiv w:val="1"/>
      <w:marLeft w:val="0"/>
      <w:marRight w:val="0"/>
      <w:marTop w:val="0"/>
      <w:marBottom w:val="0"/>
      <w:divBdr>
        <w:top w:val="none" w:sz="0" w:space="0" w:color="auto"/>
        <w:left w:val="none" w:sz="0" w:space="0" w:color="auto"/>
        <w:bottom w:val="none" w:sz="0" w:space="0" w:color="auto"/>
        <w:right w:val="none" w:sz="0" w:space="0" w:color="auto"/>
      </w:divBdr>
    </w:div>
    <w:div w:id="1001195993">
      <w:bodyDiv w:val="1"/>
      <w:marLeft w:val="0"/>
      <w:marRight w:val="0"/>
      <w:marTop w:val="0"/>
      <w:marBottom w:val="0"/>
      <w:divBdr>
        <w:top w:val="none" w:sz="0" w:space="0" w:color="auto"/>
        <w:left w:val="none" w:sz="0" w:space="0" w:color="auto"/>
        <w:bottom w:val="none" w:sz="0" w:space="0" w:color="auto"/>
        <w:right w:val="none" w:sz="0" w:space="0" w:color="auto"/>
      </w:divBdr>
    </w:div>
    <w:div w:id="1055399065">
      <w:bodyDiv w:val="1"/>
      <w:marLeft w:val="0"/>
      <w:marRight w:val="0"/>
      <w:marTop w:val="0"/>
      <w:marBottom w:val="0"/>
      <w:divBdr>
        <w:top w:val="none" w:sz="0" w:space="0" w:color="auto"/>
        <w:left w:val="none" w:sz="0" w:space="0" w:color="auto"/>
        <w:bottom w:val="none" w:sz="0" w:space="0" w:color="auto"/>
        <w:right w:val="none" w:sz="0" w:space="0" w:color="auto"/>
      </w:divBdr>
    </w:div>
    <w:div w:id="1085495184">
      <w:bodyDiv w:val="1"/>
      <w:marLeft w:val="0"/>
      <w:marRight w:val="0"/>
      <w:marTop w:val="0"/>
      <w:marBottom w:val="0"/>
      <w:divBdr>
        <w:top w:val="none" w:sz="0" w:space="0" w:color="auto"/>
        <w:left w:val="none" w:sz="0" w:space="0" w:color="auto"/>
        <w:bottom w:val="none" w:sz="0" w:space="0" w:color="auto"/>
        <w:right w:val="none" w:sz="0" w:space="0" w:color="auto"/>
      </w:divBdr>
    </w:div>
    <w:div w:id="1185097824">
      <w:bodyDiv w:val="1"/>
      <w:marLeft w:val="0"/>
      <w:marRight w:val="0"/>
      <w:marTop w:val="0"/>
      <w:marBottom w:val="0"/>
      <w:divBdr>
        <w:top w:val="none" w:sz="0" w:space="0" w:color="auto"/>
        <w:left w:val="none" w:sz="0" w:space="0" w:color="auto"/>
        <w:bottom w:val="none" w:sz="0" w:space="0" w:color="auto"/>
        <w:right w:val="none" w:sz="0" w:space="0" w:color="auto"/>
      </w:divBdr>
    </w:div>
    <w:div w:id="1195650315">
      <w:bodyDiv w:val="1"/>
      <w:marLeft w:val="0"/>
      <w:marRight w:val="0"/>
      <w:marTop w:val="0"/>
      <w:marBottom w:val="0"/>
      <w:divBdr>
        <w:top w:val="none" w:sz="0" w:space="0" w:color="auto"/>
        <w:left w:val="none" w:sz="0" w:space="0" w:color="auto"/>
        <w:bottom w:val="none" w:sz="0" w:space="0" w:color="auto"/>
        <w:right w:val="none" w:sz="0" w:space="0" w:color="auto"/>
      </w:divBdr>
    </w:div>
    <w:div w:id="1245070926">
      <w:bodyDiv w:val="1"/>
      <w:marLeft w:val="0"/>
      <w:marRight w:val="0"/>
      <w:marTop w:val="0"/>
      <w:marBottom w:val="0"/>
      <w:divBdr>
        <w:top w:val="none" w:sz="0" w:space="0" w:color="auto"/>
        <w:left w:val="none" w:sz="0" w:space="0" w:color="auto"/>
        <w:bottom w:val="none" w:sz="0" w:space="0" w:color="auto"/>
        <w:right w:val="none" w:sz="0" w:space="0" w:color="auto"/>
      </w:divBdr>
    </w:div>
    <w:div w:id="1331251694">
      <w:bodyDiv w:val="1"/>
      <w:marLeft w:val="0"/>
      <w:marRight w:val="0"/>
      <w:marTop w:val="0"/>
      <w:marBottom w:val="0"/>
      <w:divBdr>
        <w:top w:val="none" w:sz="0" w:space="0" w:color="auto"/>
        <w:left w:val="none" w:sz="0" w:space="0" w:color="auto"/>
        <w:bottom w:val="none" w:sz="0" w:space="0" w:color="auto"/>
        <w:right w:val="none" w:sz="0" w:space="0" w:color="auto"/>
      </w:divBdr>
    </w:div>
    <w:div w:id="1332566973">
      <w:bodyDiv w:val="1"/>
      <w:marLeft w:val="0"/>
      <w:marRight w:val="0"/>
      <w:marTop w:val="0"/>
      <w:marBottom w:val="0"/>
      <w:divBdr>
        <w:top w:val="none" w:sz="0" w:space="0" w:color="auto"/>
        <w:left w:val="none" w:sz="0" w:space="0" w:color="auto"/>
        <w:bottom w:val="none" w:sz="0" w:space="0" w:color="auto"/>
        <w:right w:val="none" w:sz="0" w:space="0" w:color="auto"/>
      </w:divBdr>
    </w:div>
    <w:div w:id="1375696746">
      <w:bodyDiv w:val="1"/>
      <w:marLeft w:val="0"/>
      <w:marRight w:val="0"/>
      <w:marTop w:val="0"/>
      <w:marBottom w:val="0"/>
      <w:divBdr>
        <w:top w:val="none" w:sz="0" w:space="0" w:color="auto"/>
        <w:left w:val="none" w:sz="0" w:space="0" w:color="auto"/>
        <w:bottom w:val="none" w:sz="0" w:space="0" w:color="auto"/>
        <w:right w:val="none" w:sz="0" w:space="0" w:color="auto"/>
      </w:divBdr>
    </w:div>
    <w:div w:id="1382091097">
      <w:bodyDiv w:val="1"/>
      <w:marLeft w:val="0"/>
      <w:marRight w:val="0"/>
      <w:marTop w:val="0"/>
      <w:marBottom w:val="0"/>
      <w:divBdr>
        <w:top w:val="none" w:sz="0" w:space="0" w:color="auto"/>
        <w:left w:val="none" w:sz="0" w:space="0" w:color="auto"/>
        <w:bottom w:val="none" w:sz="0" w:space="0" w:color="auto"/>
        <w:right w:val="none" w:sz="0" w:space="0" w:color="auto"/>
      </w:divBdr>
    </w:div>
    <w:div w:id="1581451530">
      <w:bodyDiv w:val="1"/>
      <w:marLeft w:val="0"/>
      <w:marRight w:val="0"/>
      <w:marTop w:val="0"/>
      <w:marBottom w:val="0"/>
      <w:divBdr>
        <w:top w:val="none" w:sz="0" w:space="0" w:color="auto"/>
        <w:left w:val="none" w:sz="0" w:space="0" w:color="auto"/>
        <w:bottom w:val="none" w:sz="0" w:space="0" w:color="auto"/>
        <w:right w:val="none" w:sz="0" w:space="0" w:color="auto"/>
      </w:divBdr>
    </w:div>
    <w:div w:id="1600405684">
      <w:bodyDiv w:val="1"/>
      <w:marLeft w:val="0"/>
      <w:marRight w:val="0"/>
      <w:marTop w:val="0"/>
      <w:marBottom w:val="0"/>
      <w:divBdr>
        <w:top w:val="none" w:sz="0" w:space="0" w:color="auto"/>
        <w:left w:val="none" w:sz="0" w:space="0" w:color="auto"/>
        <w:bottom w:val="none" w:sz="0" w:space="0" w:color="auto"/>
        <w:right w:val="none" w:sz="0" w:space="0" w:color="auto"/>
      </w:divBdr>
    </w:div>
    <w:div w:id="1604263097">
      <w:bodyDiv w:val="1"/>
      <w:marLeft w:val="0"/>
      <w:marRight w:val="0"/>
      <w:marTop w:val="0"/>
      <w:marBottom w:val="0"/>
      <w:divBdr>
        <w:top w:val="none" w:sz="0" w:space="0" w:color="auto"/>
        <w:left w:val="none" w:sz="0" w:space="0" w:color="auto"/>
        <w:bottom w:val="none" w:sz="0" w:space="0" w:color="auto"/>
        <w:right w:val="none" w:sz="0" w:space="0" w:color="auto"/>
      </w:divBdr>
    </w:div>
    <w:div w:id="1607692507">
      <w:bodyDiv w:val="1"/>
      <w:marLeft w:val="0"/>
      <w:marRight w:val="0"/>
      <w:marTop w:val="0"/>
      <w:marBottom w:val="0"/>
      <w:divBdr>
        <w:top w:val="none" w:sz="0" w:space="0" w:color="auto"/>
        <w:left w:val="none" w:sz="0" w:space="0" w:color="auto"/>
        <w:bottom w:val="none" w:sz="0" w:space="0" w:color="auto"/>
        <w:right w:val="none" w:sz="0" w:space="0" w:color="auto"/>
      </w:divBdr>
    </w:div>
    <w:div w:id="1681354775">
      <w:bodyDiv w:val="1"/>
      <w:marLeft w:val="0"/>
      <w:marRight w:val="0"/>
      <w:marTop w:val="0"/>
      <w:marBottom w:val="0"/>
      <w:divBdr>
        <w:top w:val="none" w:sz="0" w:space="0" w:color="auto"/>
        <w:left w:val="none" w:sz="0" w:space="0" w:color="auto"/>
        <w:bottom w:val="none" w:sz="0" w:space="0" w:color="auto"/>
        <w:right w:val="none" w:sz="0" w:space="0" w:color="auto"/>
      </w:divBdr>
    </w:div>
    <w:div w:id="1733843557">
      <w:bodyDiv w:val="1"/>
      <w:marLeft w:val="0"/>
      <w:marRight w:val="0"/>
      <w:marTop w:val="0"/>
      <w:marBottom w:val="0"/>
      <w:divBdr>
        <w:top w:val="none" w:sz="0" w:space="0" w:color="auto"/>
        <w:left w:val="none" w:sz="0" w:space="0" w:color="auto"/>
        <w:bottom w:val="none" w:sz="0" w:space="0" w:color="auto"/>
        <w:right w:val="none" w:sz="0" w:space="0" w:color="auto"/>
      </w:divBdr>
    </w:div>
    <w:div w:id="1749689599">
      <w:bodyDiv w:val="1"/>
      <w:marLeft w:val="0"/>
      <w:marRight w:val="0"/>
      <w:marTop w:val="0"/>
      <w:marBottom w:val="0"/>
      <w:divBdr>
        <w:top w:val="none" w:sz="0" w:space="0" w:color="auto"/>
        <w:left w:val="none" w:sz="0" w:space="0" w:color="auto"/>
        <w:bottom w:val="none" w:sz="0" w:space="0" w:color="auto"/>
        <w:right w:val="none" w:sz="0" w:space="0" w:color="auto"/>
      </w:divBdr>
    </w:div>
    <w:div w:id="1793818246">
      <w:bodyDiv w:val="1"/>
      <w:marLeft w:val="0"/>
      <w:marRight w:val="0"/>
      <w:marTop w:val="0"/>
      <w:marBottom w:val="0"/>
      <w:divBdr>
        <w:top w:val="none" w:sz="0" w:space="0" w:color="auto"/>
        <w:left w:val="none" w:sz="0" w:space="0" w:color="auto"/>
        <w:bottom w:val="none" w:sz="0" w:space="0" w:color="auto"/>
        <w:right w:val="none" w:sz="0" w:space="0" w:color="auto"/>
      </w:divBdr>
    </w:div>
    <w:div w:id="1831404280">
      <w:bodyDiv w:val="1"/>
      <w:marLeft w:val="0"/>
      <w:marRight w:val="0"/>
      <w:marTop w:val="0"/>
      <w:marBottom w:val="0"/>
      <w:divBdr>
        <w:top w:val="none" w:sz="0" w:space="0" w:color="auto"/>
        <w:left w:val="none" w:sz="0" w:space="0" w:color="auto"/>
        <w:bottom w:val="none" w:sz="0" w:space="0" w:color="auto"/>
        <w:right w:val="none" w:sz="0" w:space="0" w:color="auto"/>
      </w:divBdr>
    </w:div>
    <w:div w:id="1849711146">
      <w:bodyDiv w:val="1"/>
      <w:marLeft w:val="0"/>
      <w:marRight w:val="0"/>
      <w:marTop w:val="0"/>
      <w:marBottom w:val="0"/>
      <w:divBdr>
        <w:top w:val="none" w:sz="0" w:space="0" w:color="auto"/>
        <w:left w:val="none" w:sz="0" w:space="0" w:color="auto"/>
        <w:bottom w:val="none" w:sz="0" w:space="0" w:color="auto"/>
        <w:right w:val="none" w:sz="0" w:space="0" w:color="auto"/>
      </w:divBdr>
    </w:div>
    <w:div w:id="1859461984">
      <w:bodyDiv w:val="1"/>
      <w:marLeft w:val="0"/>
      <w:marRight w:val="0"/>
      <w:marTop w:val="0"/>
      <w:marBottom w:val="0"/>
      <w:divBdr>
        <w:top w:val="none" w:sz="0" w:space="0" w:color="auto"/>
        <w:left w:val="none" w:sz="0" w:space="0" w:color="auto"/>
        <w:bottom w:val="none" w:sz="0" w:space="0" w:color="auto"/>
        <w:right w:val="none" w:sz="0" w:space="0" w:color="auto"/>
      </w:divBdr>
    </w:div>
    <w:div w:id="1959218732">
      <w:bodyDiv w:val="1"/>
      <w:marLeft w:val="0"/>
      <w:marRight w:val="0"/>
      <w:marTop w:val="0"/>
      <w:marBottom w:val="0"/>
      <w:divBdr>
        <w:top w:val="none" w:sz="0" w:space="0" w:color="auto"/>
        <w:left w:val="none" w:sz="0" w:space="0" w:color="auto"/>
        <w:bottom w:val="none" w:sz="0" w:space="0" w:color="auto"/>
        <w:right w:val="none" w:sz="0" w:space="0" w:color="auto"/>
      </w:divBdr>
    </w:div>
    <w:div w:id="1968313055">
      <w:bodyDiv w:val="1"/>
      <w:marLeft w:val="0"/>
      <w:marRight w:val="0"/>
      <w:marTop w:val="0"/>
      <w:marBottom w:val="0"/>
      <w:divBdr>
        <w:top w:val="none" w:sz="0" w:space="0" w:color="auto"/>
        <w:left w:val="none" w:sz="0" w:space="0" w:color="auto"/>
        <w:bottom w:val="none" w:sz="0" w:space="0" w:color="auto"/>
        <w:right w:val="none" w:sz="0" w:space="0" w:color="auto"/>
      </w:divBdr>
    </w:div>
    <w:div w:id="2020548310">
      <w:bodyDiv w:val="1"/>
      <w:marLeft w:val="0"/>
      <w:marRight w:val="0"/>
      <w:marTop w:val="0"/>
      <w:marBottom w:val="0"/>
      <w:divBdr>
        <w:top w:val="none" w:sz="0" w:space="0" w:color="auto"/>
        <w:left w:val="none" w:sz="0" w:space="0" w:color="auto"/>
        <w:bottom w:val="none" w:sz="0" w:space="0" w:color="auto"/>
        <w:right w:val="none" w:sz="0" w:space="0" w:color="auto"/>
      </w:divBdr>
    </w:div>
    <w:div w:id="2122216047">
      <w:bodyDiv w:val="1"/>
      <w:marLeft w:val="0"/>
      <w:marRight w:val="0"/>
      <w:marTop w:val="0"/>
      <w:marBottom w:val="0"/>
      <w:divBdr>
        <w:top w:val="none" w:sz="0" w:space="0" w:color="auto"/>
        <w:left w:val="none" w:sz="0" w:space="0" w:color="auto"/>
        <w:bottom w:val="none" w:sz="0" w:space="0" w:color="auto"/>
        <w:right w:val="none" w:sz="0" w:space="0" w:color="auto"/>
      </w:divBdr>
    </w:div>
    <w:div w:id="21272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timilsina@worldbank.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AD4E-DF9F-465A-BD2E-7228DD3419DF}">
  <ds:schemaRefs>
    <ds:schemaRef ds:uri="http://schemas.openxmlformats.org/officeDocument/2006/bibliography"/>
  </ds:schemaRefs>
</ds:datastoreItem>
</file>

<file path=customXml/itemProps2.xml><?xml version="1.0" encoding="utf-8"?>
<ds:datastoreItem xmlns:ds="http://schemas.openxmlformats.org/officeDocument/2006/customXml" ds:itemID="{138838D3-BFB2-489E-8FFD-922B42D3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1284</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Опитувальник для визначення бар’єрів для втілення заходів із енергоефективності</vt:lpstr>
    </vt:vector>
  </TitlesOfParts>
  <Company>IER</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Опитувальник для визначення бар’єрів для втілення заходів із енергоефективності</dc:title>
  <dc:subject/>
  <dc:creator>fedets</dc:creator>
  <cp:keywords/>
  <dc:description/>
  <cp:lastModifiedBy>Govinda R. Timilsina</cp:lastModifiedBy>
  <cp:revision>6</cp:revision>
  <cp:lastPrinted>2015-09-15T15:48:00Z</cp:lastPrinted>
  <dcterms:created xsi:type="dcterms:W3CDTF">2018-12-17T16:46:00Z</dcterms:created>
  <dcterms:modified xsi:type="dcterms:W3CDTF">2018-12-17T17:37:00Z</dcterms:modified>
</cp:coreProperties>
</file>