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51228" w14:textId="1A5078AB" w:rsidR="00C80B1D" w:rsidRPr="000E36FE" w:rsidRDefault="00C80B1D" w:rsidP="00D102E7">
      <w:pPr>
        <w:framePr w:w="10800" w:h="1111" w:hRule="exact" w:hSpace="187" w:wrap="auto" w:vAnchor="page" w:hAnchor="page" w:x="684" w:y="781"/>
      </w:pPr>
      <w:r>
        <w:rPr>
          <w:b/>
          <w:sz w:val="28"/>
          <w:szCs w:val="28"/>
        </w:rPr>
        <w:t xml:space="preserve">Stable </w:t>
      </w:r>
      <w:r w:rsidR="00E73914">
        <w:rPr>
          <w:b/>
          <w:sz w:val="28"/>
          <w:szCs w:val="28"/>
        </w:rPr>
        <w:t>coalition</w:t>
      </w:r>
      <w:r w:rsidR="00CE1DA0">
        <w:rPr>
          <w:b/>
          <w:sz w:val="28"/>
          <w:szCs w:val="28"/>
        </w:rPr>
        <w:t>s</w:t>
      </w:r>
      <w:r w:rsidR="00E73914">
        <w:rPr>
          <w:b/>
          <w:sz w:val="28"/>
          <w:szCs w:val="28"/>
        </w:rPr>
        <w:t xml:space="preserve"> </w:t>
      </w:r>
      <w:r w:rsidR="008E2090">
        <w:rPr>
          <w:b/>
          <w:sz w:val="28"/>
          <w:szCs w:val="28"/>
        </w:rPr>
        <w:t>am</w:t>
      </w:r>
      <w:bookmarkStart w:id="0" w:name="_GoBack"/>
      <w:bookmarkEnd w:id="0"/>
      <w:r w:rsidR="008E2090">
        <w:rPr>
          <w:b/>
          <w:sz w:val="28"/>
          <w:szCs w:val="28"/>
        </w:rPr>
        <w:t>ong</w:t>
      </w:r>
      <w:r w:rsidR="008E2090">
        <w:rPr>
          <w:b/>
          <w:sz w:val="28"/>
          <w:szCs w:val="28"/>
        </w:rPr>
        <w:t xml:space="preserve"> </w:t>
      </w:r>
      <w:r>
        <w:rPr>
          <w:b/>
          <w:sz w:val="28"/>
          <w:szCs w:val="28"/>
        </w:rPr>
        <w:t>NPCC’s power systems: A cooperative game with externalities</w:t>
      </w:r>
    </w:p>
    <w:p w14:paraId="1E165FC0" w14:textId="77777777" w:rsidR="00C80B1D" w:rsidRDefault="00C80B1D" w:rsidP="00D102E7">
      <w:pPr>
        <w:pStyle w:val="Corpsdetexte"/>
        <w:framePr w:w="10800" w:h="1111" w:hRule="exact" w:hSpace="187" w:wrap="auto" w:vAnchor="page" w:hAnchor="page" w:x="684" w:y="781"/>
        <w:jc w:val="right"/>
        <w:rPr>
          <w:sz w:val="20"/>
          <w:lang w:val="fr-CA"/>
        </w:rPr>
      </w:pPr>
      <w:r w:rsidRPr="00BB5B92">
        <w:rPr>
          <w:sz w:val="20"/>
          <w:lang w:val="fr-CA"/>
        </w:rPr>
        <w:t>S</w:t>
      </w:r>
      <w:r>
        <w:rPr>
          <w:sz w:val="20"/>
          <w:lang w:val="fr-CA"/>
        </w:rPr>
        <w:t>é</w:t>
      </w:r>
      <w:r w:rsidRPr="00BB5B92">
        <w:rPr>
          <w:sz w:val="20"/>
          <w:lang w:val="fr-CA"/>
        </w:rPr>
        <w:t>bastien Debia, HEC Mo</w:t>
      </w:r>
      <w:r>
        <w:rPr>
          <w:sz w:val="20"/>
          <w:lang w:val="fr-CA"/>
        </w:rPr>
        <w:t>ntréal, sebastien.debia@hec.ca</w:t>
      </w:r>
    </w:p>
    <w:p w14:paraId="5B640CB5" w14:textId="77777777" w:rsidR="00C80B1D" w:rsidRPr="00BB5B92" w:rsidRDefault="00C80B1D" w:rsidP="00D102E7">
      <w:pPr>
        <w:pStyle w:val="Corpsdetexte"/>
        <w:framePr w:w="10800" w:h="1111" w:hRule="exact" w:hSpace="187" w:wrap="auto" w:vAnchor="page" w:hAnchor="page" w:x="684" w:y="781"/>
        <w:jc w:val="right"/>
        <w:rPr>
          <w:sz w:val="20"/>
          <w:lang w:val="fr-CA"/>
        </w:rPr>
      </w:pPr>
      <w:r>
        <w:rPr>
          <w:sz w:val="20"/>
          <w:lang w:val="fr-CA"/>
        </w:rPr>
        <w:t>Pierre-Olivier Pineau</w:t>
      </w:r>
      <w:r w:rsidRPr="00BB5B92">
        <w:rPr>
          <w:sz w:val="20"/>
          <w:lang w:val="fr-CA"/>
        </w:rPr>
        <w:t>, HEC Mo</w:t>
      </w:r>
      <w:r>
        <w:rPr>
          <w:sz w:val="20"/>
          <w:lang w:val="fr-CA"/>
        </w:rPr>
        <w:t>ntréal, pierre-olivier.pineau@hec.ca</w:t>
      </w:r>
      <w:r w:rsidRPr="00BB5B92">
        <w:rPr>
          <w:sz w:val="20"/>
          <w:lang w:val="fr-CA"/>
        </w:rPr>
        <w:t xml:space="preserve"> </w:t>
      </w:r>
    </w:p>
    <w:p w14:paraId="2848724B" w14:textId="77777777" w:rsidR="00C80B1D" w:rsidRPr="001F6ADA" w:rsidRDefault="00C80B1D" w:rsidP="00D102E7">
      <w:pPr>
        <w:pStyle w:val="Corpsdetexte"/>
        <w:framePr w:w="10800" w:h="1111" w:hRule="exact" w:hSpace="187" w:wrap="auto" w:vAnchor="page" w:hAnchor="page" w:x="684" w:y="781"/>
        <w:jc w:val="right"/>
        <w:rPr>
          <w:sz w:val="20"/>
          <w:lang w:val="fr-CA"/>
        </w:rPr>
      </w:pPr>
      <w:r w:rsidRPr="001F6ADA">
        <w:rPr>
          <w:sz w:val="20"/>
          <w:lang w:val="fr-CA"/>
        </w:rPr>
        <w:t>Jes</w:t>
      </w:r>
      <w:r w:rsidR="00AC7DEC">
        <w:rPr>
          <w:sz w:val="20"/>
          <w:lang w:val="fr-CA"/>
        </w:rPr>
        <w:t>ús Andrés Rodrí</w:t>
      </w:r>
      <w:r w:rsidRPr="001F6ADA">
        <w:rPr>
          <w:sz w:val="20"/>
          <w:lang w:val="fr-CA"/>
        </w:rPr>
        <w:t>gu</w:t>
      </w:r>
      <w:r w:rsidR="00AC7DEC">
        <w:rPr>
          <w:sz w:val="20"/>
          <w:lang w:val="fr-CA"/>
        </w:rPr>
        <w:t>ez</w:t>
      </w:r>
      <w:r w:rsidRPr="001F6ADA">
        <w:rPr>
          <w:sz w:val="20"/>
          <w:lang w:val="fr-CA"/>
        </w:rPr>
        <w:t xml:space="preserve">, HEC Montréal, </w:t>
      </w:r>
      <w:r w:rsidRPr="00AC5C62">
        <w:rPr>
          <w:sz w:val="20"/>
          <w:lang w:val="fr-CA"/>
        </w:rPr>
        <w:t>jesusandresrodriguez@ingenieros.com</w:t>
      </w:r>
    </w:p>
    <w:p w14:paraId="7E55685B" w14:textId="77777777" w:rsidR="00C80B1D" w:rsidRDefault="00C80B1D" w:rsidP="00C80B1D">
      <w:pPr>
        <w:pStyle w:val="Titre2"/>
        <w:rPr>
          <w:i w:val="0"/>
          <w:sz w:val="24"/>
          <w:szCs w:val="24"/>
        </w:rPr>
      </w:pPr>
      <w:r w:rsidRPr="00476853">
        <w:rPr>
          <w:i w:val="0"/>
          <w:sz w:val="24"/>
          <w:szCs w:val="24"/>
        </w:rPr>
        <w:t>Overview</w:t>
      </w:r>
    </w:p>
    <w:p w14:paraId="2D916558" w14:textId="77777777" w:rsidR="00C80B1D" w:rsidRDefault="00C80B1D" w:rsidP="00C80B1D">
      <w:pPr>
        <w:jc w:val="both"/>
      </w:pPr>
      <w:r>
        <w:t>The Northeast Power Coordinating Council (NPCC) comprises American states and Canadian provinces</w:t>
      </w:r>
      <w:r w:rsidR="008873F0">
        <w:t xml:space="preserve"> (New England, New York, Ontario, and Qu</w:t>
      </w:r>
      <w:r w:rsidR="008873F0" w:rsidRPr="00834F55">
        <w:t>é</w:t>
      </w:r>
      <w:r w:rsidR="008873F0">
        <w:t>bec)</w:t>
      </w:r>
      <w:r>
        <w:t xml:space="preserve">.  </w:t>
      </w:r>
      <w:r w:rsidR="008873F0">
        <w:t xml:space="preserve">Most of these jurisdictions </w:t>
      </w:r>
      <w:r>
        <w:t xml:space="preserve">have very ambitious </w:t>
      </w:r>
      <w:r w:rsidR="008873F0">
        <w:t xml:space="preserve">decarbonisation </w:t>
      </w:r>
      <w:r>
        <w:t>goals. For example, the Canadian government enacted 80% of CO2 emissions by 2050 w.r.t. 2005 levels, and New York and the New England states are currently evaluating this option</w:t>
      </w:r>
      <w:r w:rsidR="008873F0">
        <w:t xml:space="preserve"> and also have binding short term targets</w:t>
      </w:r>
      <w:r>
        <w:t>. Th</w:t>
      </w:r>
      <w:r w:rsidR="008873F0">
        <w:t xml:space="preserve">ese emission </w:t>
      </w:r>
      <w:r>
        <w:t>objective</w:t>
      </w:r>
      <w:r w:rsidR="008873F0">
        <w:t>s</w:t>
      </w:r>
      <w:r>
        <w:t xml:space="preserve"> go beyond the</w:t>
      </w:r>
      <w:r w:rsidR="00057836">
        <w:t xml:space="preserve"> NPCC</w:t>
      </w:r>
      <w:r>
        <w:t xml:space="preserve">, </w:t>
      </w:r>
      <w:r w:rsidR="008873F0">
        <w:t xml:space="preserve">for instance, </w:t>
      </w:r>
      <w:r>
        <w:t xml:space="preserve">the European Commission recently enacted </w:t>
      </w:r>
      <w:r w:rsidR="008873F0">
        <w:t xml:space="preserve">similar </w:t>
      </w:r>
      <w:r>
        <w:t>goal</w:t>
      </w:r>
      <w:r w:rsidR="008873F0">
        <w:t>s</w:t>
      </w:r>
      <w:r>
        <w:t>.</w:t>
      </w:r>
    </w:p>
    <w:p w14:paraId="3DE9A53B" w14:textId="18C87F8D" w:rsidR="00C80B1D" w:rsidRDefault="00C80B1D" w:rsidP="00C80B1D">
      <w:pPr>
        <w:jc w:val="both"/>
      </w:pPr>
      <w:r>
        <w:t xml:space="preserve">One way of </w:t>
      </w:r>
      <w:r w:rsidR="008873F0">
        <w:t xml:space="preserve">contributing to CO2 emission reduction </w:t>
      </w:r>
      <w:r>
        <w:t xml:space="preserve">is to </w:t>
      </w:r>
      <w:r w:rsidR="008873F0">
        <w:t xml:space="preserve">foster </w:t>
      </w:r>
      <w:r>
        <w:t>integration between neighbour</w:t>
      </w:r>
      <w:r w:rsidR="008873F0">
        <w:t>ing</w:t>
      </w:r>
      <w:r>
        <w:t xml:space="preserve"> power systems. In allowing to take advantage of systems complementarity, such as peak</w:t>
      </w:r>
      <w:r w:rsidR="00057836">
        <w:t>-</w:t>
      </w:r>
      <w:r>
        <w:t xml:space="preserve">load asynchronisms and the comparative advantages of production in each region, the mitigation effort can be achieved at a reasonable cost. </w:t>
      </w:r>
      <w:r w:rsidR="009B12C2">
        <w:t>H</w:t>
      </w:r>
      <w:r>
        <w:t>ydropower storage</w:t>
      </w:r>
      <w:r w:rsidR="009B12C2">
        <w:t>, which is abundant in</w:t>
      </w:r>
      <w:r>
        <w:t xml:space="preserve"> Québec</w:t>
      </w:r>
      <w:r w:rsidR="009B12C2">
        <w:t>,</w:t>
      </w:r>
      <w:r>
        <w:t xml:space="preserve"> </w:t>
      </w:r>
      <w:r w:rsidR="009B12C2">
        <w:t xml:space="preserve">can </w:t>
      </w:r>
      <w:r>
        <w:t xml:space="preserve">balance intermittent energy sources, e.g. wind and solar, </w:t>
      </w:r>
      <w:r w:rsidR="009B12C2">
        <w:t xml:space="preserve">with no associated </w:t>
      </w:r>
      <w:r>
        <w:t xml:space="preserve">emissions. But for this hydropower </w:t>
      </w:r>
      <w:r w:rsidR="009B12C2">
        <w:t xml:space="preserve">storage </w:t>
      </w:r>
      <w:r>
        <w:t xml:space="preserve">to be </w:t>
      </w:r>
      <w:r w:rsidR="009B12C2">
        <w:t>optimally used</w:t>
      </w:r>
      <w:r>
        <w:t xml:space="preserve">, investment in interconnection capacity is needed, as well as institutional rules enforcing coordination among the </w:t>
      </w:r>
      <w:r w:rsidR="009B12C2">
        <w:t>sub-</w:t>
      </w:r>
      <w:r>
        <w:t>regions.</w:t>
      </w:r>
    </w:p>
    <w:p w14:paraId="47748E1E" w14:textId="23F79E78" w:rsidR="00C80B1D" w:rsidRDefault="00C80B1D" w:rsidP="00C80B1D">
      <w:pPr>
        <w:jc w:val="both"/>
      </w:pPr>
      <w:r>
        <w:t xml:space="preserve">If a better integration intuitively creates wealth, the issues pertaining to the distribution of this wealth </w:t>
      </w:r>
      <w:r w:rsidR="009B12C2">
        <w:t xml:space="preserve">are </w:t>
      </w:r>
      <w:r>
        <w:t>particularly difficult. Merchant investment</w:t>
      </w:r>
      <w:r w:rsidR="00B72DA5">
        <w:t>s</w:t>
      </w:r>
      <w:r>
        <w:t xml:space="preserve"> are structurally suboptimal, and parties often fail to reach an agreement for regulated investments (Littlechild, 201</w:t>
      </w:r>
      <w:r w:rsidR="00685DD7">
        <w:t>2</w:t>
      </w:r>
      <w:r>
        <w:t>).</w:t>
      </w:r>
    </w:p>
    <w:p w14:paraId="5D7CEBE4" w14:textId="55B1A7BA" w:rsidR="00C80B1D" w:rsidRDefault="00C80B1D" w:rsidP="00C80B1D">
      <w:pPr>
        <w:jc w:val="both"/>
      </w:pPr>
      <w:r>
        <w:t xml:space="preserve">In this research, we aim at defining a fair allocation of the wealth created </w:t>
      </w:r>
      <w:r w:rsidR="009B12C2">
        <w:t xml:space="preserve">through </w:t>
      </w:r>
      <w:r>
        <w:t xml:space="preserve">cooperation.  Cooperative game theory provides a set of tools to assess whether a coalition is stable—the </w:t>
      </w:r>
      <w:r>
        <w:rPr>
          <w:i/>
        </w:rPr>
        <w:t>core</w:t>
      </w:r>
      <w:r w:rsidRPr="001F6ADA">
        <w:t xml:space="preserve"> of the game</w:t>
      </w:r>
      <w:r>
        <w:t xml:space="preserve">—and how to redistribute the gains amenable to such a stability. The </w:t>
      </w:r>
      <w:r w:rsidRPr="001F6ADA">
        <w:rPr>
          <w:i/>
        </w:rPr>
        <w:t>Shapley value</w:t>
      </w:r>
      <w:r>
        <w:t xml:space="preserve"> is the most used </w:t>
      </w:r>
      <w:r w:rsidR="00D16FD6">
        <w:t>single-valued</w:t>
      </w:r>
      <w:r>
        <w:t xml:space="preserve"> allocation, as it is easily computable and is interpretable as an average marginal contribution (see Kristiansen et al. (2018) for a recent application </w:t>
      </w:r>
      <w:r w:rsidR="00392321">
        <w:t xml:space="preserve">to </w:t>
      </w:r>
      <w:r>
        <w:t xml:space="preserve">interconnections). The standard theory is however hardly applicable to power systems </w:t>
      </w:r>
      <w:r w:rsidR="0057660C">
        <w:t>since</w:t>
      </w:r>
      <w:r>
        <w:t xml:space="preserve"> electricity </w:t>
      </w:r>
      <w:r w:rsidR="009B12C2">
        <w:t xml:space="preserve">trade </w:t>
      </w:r>
      <w:r>
        <w:t>generates externalities: changing the pattern of trade between two countries has repercussions over the entire network and modif</w:t>
      </w:r>
      <w:r w:rsidR="009B12C2">
        <w:t>ies</w:t>
      </w:r>
      <w:r>
        <w:t xml:space="preserve"> the payoff of each region in the system. Hence, the value of a coalition is dependent on the externalities created by the left-out players, and especially on how they organize: their </w:t>
      </w:r>
      <w:r>
        <w:rPr>
          <w:i/>
        </w:rPr>
        <w:t>partition</w:t>
      </w:r>
      <w:r>
        <w:t xml:space="preserve">. </w:t>
      </w:r>
    </w:p>
    <w:p w14:paraId="1C725F40" w14:textId="7863B3DA" w:rsidR="00C80B1D" w:rsidRDefault="00C80B1D" w:rsidP="00C80B1D">
      <w:pPr>
        <w:jc w:val="both"/>
      </w:pPr>
      <w:r>
        <w:t>This research is</w:t>
      </w:r>
      <w:r w:rsidR="00B72DA5">
        <w:t xml:space="preserve"> </w:t>
      </w:r>
      <w:r>
        <w:t xml:space="preserve">the first to apply cooperative-game-with-externalities theory in a network of connected power systems. We analyse the impact of externalities on the stability of the grand coalition for investment in interconnections and provide an institutional framework to improve the stability of such coalition, namely by sharing capacity reserves among the players.  </w:t>
      </w:r>
    </w:p>
    <w:p w14:paraId="6ABCD06C" w14:textId="77777777" w:rsidR="00C80B1D" w:rsidRDefault="00C80B1D" w:rsidP="00C80B1D">
      <w:pPr>
        <w:pStyle w:val="Titre2"/>
        <w:rPr>
          <w:i w:val="0"/>
          <w:sz w:val="24"/>
          <w:szCs w:val="24"/>
        </w:rPr>
      </w:pPr>
      <w:r w:rsidRPr="00D767DA">
        <w:rPr>
          <w:i w:val="0"/>
          <w:sz w:val="24"/>
          <w:szCs w:val="24"/>
        </w:rPr>
        <w:t>Methods</w:t>
      </w:r>
    </w:p>
    <w:p w14:paraId="6894A596" w14:textId="17BE061F" w:rsidR="00C80B1D" w:rsidRDefault="00C80B1D" w:rsidP="00C80B1D">
      <w:pPr>
        <w:jc w:val="both"/>
      </w:pPr>
      <w:r>
        <w:t xml:space="preserve">When facing externalities, the worth of a coalition is not unique anymore. Because of this multiplicity, the main notions in the standard cooperative game theory cannot be straightforwardly extended. The core is </w:t>
      </w:r>
      <w:r>
        <w:rPr>
          <w:i/>
        </w:rPr>
        <w:t>partition-based</w:t>
      </w:r>
      <w:r w:rsidRPr="001F6ADA">
        <w:t>, in that</w:t>
      </w:r>
      <w:r>
        <w:rPr>
          <w:i/>
        </w:rPr>
        <w:t xml:space="preserve"> </w:t>
      </w:r>
      <w:r>
        <w:t>it is defined after selecting a particular partition (Abe and Funaki, 2017). For example, the optimistic core select</w:t>
      </w:r>
      <w:r w:rsidR="00B72DA5">
        <w:t>s</w:t>
      </w:r>
      <w:r>
        <w:t xml:space="preserve"> the partition which maximizes each coalition’s payoff</w:t>
      </w:r>
      <w:r w:rsidR="00910E77">
        <w:t>.</w:t>
      </w:r>
      <w:r>
        <w:t xml:space="preserve"> </w:t>
      </w:r>
      <w:r w:rsidR="00910E77">
        <w:t xml:space="preserve">It </w:t>
      </w:r>
      <w:r>
        <w:t xml:space="preserve">is the </w:t>
      </w:r>
      <w:r w:rsidR="00910E77">
        <w:t>smallest</w:t>
      </w:r>
      <w:r>
        <w:t xml:space="preserve"> partition-based core</w:t>
      </w:r>
      <w:r w:rsidR="00910E77">
        <w:t>, in that it is contained in every other core</w:t>
      </w:r>
      <w:r>
        <w:t>. Reversely, the pessimistic core is the largest partition-based core</w:t>
      </w:r>
      <w:r w:rsidR="00910E77">
        <w:t>, and it contains every other core</w:t>
      </w:r>
      <w:r>
        <w:t>.</w:t>
      </w:r>
    </w:p>
    <w:p w14:paraId="29A149FA" w14:textId="77777777" w:rsidR="006944B7" w:rsidRDefault="00C80B1D" w:rsidP="00C80B1D">
      <w:pPr>
        <w:jc w:val="both"/>
      </w:pPr>
      <w:r>
        <w:t xml:space="preserve">We compute two extensions of the Shapley value to partition function games: the </w:t>
      </w:r>
      <w:r w:rsidRPr="00910E77">
        <w:rPr>
          <w:i/>
        </w:rPr>
        <w:t>externality-free</w:t>
      </w:r>
      <w:r>
        <w:t xml:space="preserve"> value (De Clippel and Serrano, 2008) and the </w:t>
      </w:r>
      <w:r w:rsidRPr="00910E77">
        <w:rPr>
          <w:i/>
        </w:rPr>
        <w:t>average</w:t>
      </w:r>
      <w:r>
        <w:t xml:space="preserve"> value (Macho-Stadler et al., 2007), and verify if these values are in their own partition-based core, provided the latter is non-empty.</w:t>
      </w:r>
    </w:p>
    <w:p w14:paraId="2B9FD789" w14:textId="190E7A3C" w:rsidR="00AC7DEC" w:rsidRDefault="00C80B1D" w:rsidP="00C80B1D">
      <w:pPr>
        <w:jc w:val="both"/>
      </w:pPr>
      <w:r>
        <w:t>The worth of each coalition for each partition is computed on the five-node representative model of</w:t>
      </w:r>
      <w:r w:rsidR="00057836">
        <w:t xml:space="preserve"> the NPCC</w:t>
      </w:r>
      <w:r>
        <w:t xml:space="preserve"> </w:t>
      </w:r>
      <w:r w:rsidR="00D102E7">
        <w:t xml:space="preserve">region </w:t>
      </w:r>
      <w:r>
        <w:t>in Debia et al</w:t>
      </w:r>
      <w:r w:rsidR="0032700D">
        <w:t>. (</w:t>
      </w:r>
      <w:r>
        <w:t>2018) with a</w:t>
      </w:r>
      <w:r w:rsidR="0032700D">
        <w:t>n</w:t>
      </w:r>
      <w:r>
        <w:t xml:space="preserve"> 80% emission reduction (</w:t>
      </w:r>
      <w:r w:rsidR="00057836">
        <w:t xml:space="preserve">base </w:t>
      </w:r>
      <w:r w:rsidR="00D93868">
        <w:t>1990</w:t>
      </w:r>
      <w:r>
        <w:t xml:space="preserve">) constraint. </w:t>
      </w:r>
      <w:r w:rsidR="00D93868">
        <w:t>N</w:t>
      </w:r>
      <w:r>
        <w:t>eighbour</w:t>
      </w:r>
      <w:r w:rsidR="00D93868">
        <w:t>ing</w:t>
      </w:r>
      <w:r>
        <w:t xml:space="preserve"> nodes </w:t>
      </w:r>
      <w:r w:rsidR="00D93868">
        <w:t xml:space="preserve">can </w:t>
      </w:r>
      <w:r>
        <w:t>cooperate</w:t>
      </w:r>
      <w:r w:rsidR="00D93868">
        <w:t xml:space="preserve"> in two ways. First</w:t>
      </w:r>
      <w:r>
        <w:t xml:space="preserve">, they </w:t>
      </w:r>
      <w:r w:rsidR="00D93868">
        <w:t xml:space="preserve">can </w:t>
      </w:r>
      <w:r>
        <w:t>invest in interconnection between them</w:t>
      </w:r>
      <w:r w:rsidR="00D93868">
        <w:t xml:space="preserve"> (physical </w:t>
      </w:r>
      <w:r w:rsidR="00057836">
        <w:t>integration</w:t>
      </w:r>
      <w:r w:rsidR="00D93868">
        <w:t>)</w:t>
      </w:r>
      <w:r>
        <w:t xml:space="preserve">. </w:t>
      </w:r>
      <w:r w:rsidR="00D93868">
        <w:t>Second, the</w:t>
      </w:r>
      <w:r w:rsidR="00057836">
        <w:t>y</w:t>
      </w:r>
      <w:r w:rsidR="00D93868">
        <w:t xml:space="preserve"> can cooperate by sharing </w:t>
      </w:r>
      <w:r>
        <w:t xml:space="preserve">capacity reserves </w:t>
      </w:r>
      <w:r w:rsidR="00D93868">
        <w:t xml:space="preserve">(institutional integration). In this case, </w:t>
      </w:r>
      <w:r>
        <w:t xml:space="preserve">connected players cooperate if they take into account each other exports in their capacity mechanism. </w:t>
      </w:r>
    </w:p>
    <w:p w14:paraId="2E1C62D6" w14:textId="77777777" w:rsidR="00C80B1D" w:rsidRPr="001F6ADA" w:rsidRDefault="00C80B1D" w:rsidP="00C80B1D">
      <w:pPr>
        <w:jc w:val="both"/>
        <w:rPr>
          <w:i/>
        </w:rPr>
      </w:pPr>
      <w:r>
        <w:t>Each node</w:t>
      </w:r>
      <w:r w:rsidR="00D93868">
        <w:t>’s</w:t>
      </w:r>
      <w:r>
        <w:t xml:space="preserve"> cost is computed by taking into account investment and production costs minus their net exports revenues. The worth of each coalition is </w:t>
      </w:r>
      <w:r w:rsidR="00BE3A1F">
        <w:t xml:space="preserve">the sum of the net costs of the players in the coalition, </w:t>
      </w:r>
      <w:r>
        <w:t>computed with respect to the status-quo (no cooperation)</w:t>
      </w:r>
      <w:r w:rsidR="00BE3A1F">
        <w:t>.</w:t>
      </w:r>
      <w:r>
        <w:t xml:space="preserve"> </w:t>
      </w:r>
      <w:r w:rsidR="00BE3A1F">
        <w:t>The nodal</w:t>
      </w:r>
      <w:r w:rsidR="00C82037">
        <w:t xml:space="preserve"> </w:t>
      </w:r>
      <w:r w:rsidR="00BE3A1F">
        <w:t xml:space="preserve">cost under </w:t>
      </w:r>
      <w:r>
        <w:t>the grand coalition</w:t>
      </w:r>
      <w:r w:rsidR="00BE3A1F">
        <w:t xml:space="preserve"> scenario</w:t>
      </w:r>
      <w:r>
        <w:t xml:space="preserve"> is the </w:t>
      </w:r>
      <w:r>
        <w:rPr>
          <w:i/>
        </w:rPr>
        <w:t xml:space="preserve">market </w:t>
      </w:r>
      <w:r w:rsidRPr="001F6ADA">
        <w:t>allocation</w:t>
      </w:r>
      <w:r>
        <w:t>.</w:t>
      </w:r>
    </w:p>
    <w:p w14:paraId="12086AD6" w14:textId="77777777" w:rsidR="00C80B1D" w:rsidRDefault="00C80B1D" w:rsidP="00C80B1D">
      <w:pPr>
        <w:pStyle w:val="Titre2"/>
        <w:rPr>
          <w:i w:val="0"/>
          <w:sz w:val="24"/>
          <w:szCs w:val="24"/>
        </w:rPr>
      </w:pPr>
      <w:r w:rsidRPr="00D767DA">
        <w:rPr>
          <w:i w:val="0"/>
          <w:sz w:val="24"/>
          <w:szCs w:val="24"/>
        </w:rPr>
        <w:t>Results</w:t>
      </w:r>
    </w:p>
    <w:p w14:paraId="67F744F8" w14:textId="77777777" w:rsidR="00D578AE" w:rsidRDefault="00C80B1D" w:rsidP="00BA59A2">
      <w:pPr>
        <w:jc w:val="both"/>
      </w:pPr>
      <w:r>
        <w:t>Our analysis consists in three cooperative games: interconnection only, sharing capacity only, and both.</w:t>
      </w:r>
      <w:r w:rsidR="007539B3">
        <w:t xml:space="preserve"> Table 1 displays the worth of the grand coalition in these games in billion dollars per year. To invest in interconnection alone has little value compared to the </w:t>
      </w:r>
      <w:r w:rsidR="00BE3A1F">
        <w:t>sharing of capacity reserves. The two games are good complements, as the joint cooperation the two axis of integration is greater than the sum of each.</w:t>
      </w:r>
      <w:r w:rsidR="006944B7">
        <w:t xml:space="preserve"> None of these game is convex.</w:t>
      </w:r>
    </w:p>
    <w:p w14:paraId="141DC4E6" w14:textId="77777777" w:rsidR="00D578AE" w:rsidRPr="00D578AE" w:rsidRDefault="00D578AE" w:rsidP="00BA59A2">
      <w:pPr>
        <w:jc w:val="both"/>
        <w:rPr>
          <w:sz w:val="24"/>
          <w:szCs w:val="24"/>
        </w:rPr>
      </w:pPr>
    </w:p>
    <w:p w14:paraId="5517671F" w14:textId="77777777" w:rsidR="007539B3" w:rsidRPr="007539B3" w:rsidRDefault="007539B3" w:rsidP="00BA59A2">
      <w:pPr>
        <w:pStyle w:val="Lgende"/>
        <w:keepNext/>
        <w:spacing w:after="0"/>
        <w:jc w:val="both"/>
        <w:rPr>
          <w:sz w:val="20"/>
          <w:szCs w:val="20"/>
        </w:rPr>
      </w:pPr>
      <w:r w:rsidRPr="007539B3">
        <w:rPr>
          <w:sz w:val="20"/>
          <w:szCs w:val="20"/>
        </w:rPr>
        <w:lastRenderedPageBreak/>
        <w:t xml:space="preserve">Table </w:t>
      </w:r>
      <w:r w:rsidRPr="007539B3">
        <w:rPr>
          <w:sz w:val="20"/>
          <w:szCs w:val="20"/>
        </w:rPr>
        <w:fldChar w:fldCharType="begin"/>
      </w:r>
      <w:r w:rsidRPr="007539B3">
        <w:rPr>
          <w:sz w:val="20"/>
          <w:szCs w:val="20"/>
        </w:rPr>
        <w:instrText xml:space="preserve"> SEQ Table \* ARABIC </w:instrText>
      </w:r>
      <w:r w:rsidRPr="007539B3">
        <w:rPr>
          <w:sz w:val="20"/>
          <w:szCs w:val="20"/>
        </w:rPr>
        <w:fldChar w:fldCharType="separate"/>
      </w:r>
      <w:r w:rsidRPr="007539B3">
        <w:rPr>
          <w:noProof/>
          <w:sz w:val="20"/>
          <w:szCs w:val="20"/>
        </w:rPr>
        <w:t>1</w:t>
      </w:r>
      <w:r w:rsidRPr="007539B3">
        <w:rPr>
          <w:sz w:val="20"/>
          <w:szCs w:val="20"/>
        </w:rPr>
        <w:fldChar w:fldCharType="end"/>
      </w:r>
      <w:r w:rsidRPr="007539B3">
        <w:rPr>
          <w:sz w:val="20"/>
          <w:szCs w:val="20"/>
        </w:rPr>
        <w:t>: Worth of the Cooperative Games</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337"/>
        <w:gridCol w:w="2337"/>
        <w:gridCol w:w="2338"/>
        <w:gridCol w:w="2338"/>
      </w:tblGrid>
      <w:tr w:rsidR="007539B3" w:rsidRPr="007539B3" w14:paraId="66A65311" w14:textId="77777777" w:rsidTr="007539B3">
        <w:trPr>
          <w:jc w:val="center"/>
        </w:trPr>
        <w:tc>
          <w:tcPr>
            <w:tcW w:w="2337" w:type="dxa"/>
          </w:tcPr>
          <w:p w14:paraId="7DDBF99C" w14:textId="77777777" w:rsidR="007539B3" w:rsidRPr="007539B3" w:rsidRDefault="007539B3" w:rsidP="00BA59A2">
            <w:pPr>
              <w:jc w:val="both"/>
            </w:pPr>
            <w:r w:rsidRPr="007539B3">
              <w:t>Game</w:t>
            </w:r>
          </w:p>
        </w:tc>
        <w:tc>
          <w:tcPr>
            <w:tcW w:w="2337" w:type="dxa"/>
          </w:tcPr>
          <w:p w14:paraId="7B03BE58" w14:textId="77777777" w:rsidR="007539B3" w:rsidRPr="007539B3" w:rsidRDefault="007539B3" w:rsidP="00BA59A2">
            <w:pPr>
              <w:jc w:val="both"/>
            </w:pPr>
            <w:r w:rsidRPr="007539B3">
              <w:t>Interconnection</w:t>
            </w:r>
          </w:p>
        </w:tc>
        <w:tc>
          <w:tcPr>
            <w:tcW w:w="2338" w:type="dxa"/>
          </w:tcPr>
          <w:p w14:paraId="59AA2CBB" w14:textId="77777777" w:rsidR="007539B3" w:rsidRPr="007539B3" w:rsidRDefault="007539B3" w:rsidP="00BA59A2">
            <w:pPr>
              <w:jc w:val="both"/>
            </w:pPr>
            <w:r w:rsidRPr="007539B3">
              <w:t>Capacity</w:t>
            </w:r>
          </w:p>
        </w:tc>
        <w:tc>
          <w:tcPr>
            <w:tcW w:w="2338" w:type="dxa"/>
          </w:tcPr>
          <w:p w14:paraId="7082D806" w14:textId="77777777" w:rsidR="007539B3" w:rsidRPr="007539B3" w:rsidRDefault="007539B3" w:rsidP="00BA59A2">
            <w:pPr>
              <w:jc w:val="both"/>
            </w:pPr>
            <w:r w:rsidRPr="007539B3">
              <w:t>Full</w:t>
            </w:r>
          </w:p>
        </w:tc>
      </w:tr>
      <w:tr w:rsidR="007539B3" w:rsidRPr="007539B3" w14:paraId="66FBD6DB" w14:textId="77777777" w:rsidTr="007539B3">
        <w:trPr>
          <w:jc w:val="center"/>
        </w:trPr>
        <w:tc>
          <w:tcPr>
            <w:tcW w:w="2337" w:type="dxa"/>
          </w:tcPr>
          <w:p w14:paraId="15CD9ACE" w14:textId="77777777" w:rsidR="007539B3" w:rsidRPr="007539B3" w:rsidRDefault="007539B3" w:rsidP="00BA59A2">
            <w:pPr>
              <w:jc w:val="both"/>
            </w:pPr>
            <w:r w:rsidRPr="007539B3">
              <w:t xml:space="preserve">Worth of the game </w:t>
            </w:r>
          </w:p>
        </w:tc>
        <w:tc>
          <w:tcPr>
            <w:tcW w:w="2337" w:type="dxa"/>
          </w:tcPr>
          <w:p w14:paraId="0BB88C55" w14:textId="77777777" w:rsidR="007539B3" w:rsidRPr="007539B3" w:rsidRDefault="007539B3" w:rsidP="00BA59A2">
            <w:pPr>
              <w:jc w:val="both"/>
            </w:pPr>
            <w:r w:rsidRPr="007539B3">
              <w:t>0.14 B$/year</w:t>
            </w:r>
          </w:p>
        </w:tc>
        <w:tc>
          <w:tcPr>
            <w:tcW w:w="2338" w:type="dxa"/>
          </w:tcPr>
          <w:p w14:paraId="41EC54E6" w14:textId="77777777" w:rsidR="007539B3" w:rsidRPr="007539B3" w:rsidRDefault="007539B3" w:rsidP="00BA59A2">
            <w:pPr>
              <w:jc w:val="both"/>
            </w:pPr>
            <w:r w:rsidRPr="007539B3">
              <w:t>0.67 B$/year</w:t>
            </w:r>
          </w:p>
        </w:tc>
        <w:tc>
          <w:tcPr>
            <w:tcW w:w="2338" w:type="dxa"/>
          </w:tcPr>
          <w:p w14:paraId="2281C1FD" w14:textId="77777777" w:rsidR="007539B3" w:rsidRPr="007539B3" w:rsidRDefault="00BE3A1F" w:rsidP="00BA59A2">
            <w:pPr>
              <w:jc w:val="both"/>
            </w:pPr>
            <w:r>
              <w:t>1.66</w:t>
            </w:r>
            <w:r w:rsidR="007539B3" w:rsidRPr="007539B3">
              <w:t xml:space="preserve"> B$/year</w:t>
            </w:r>
          </w:p>
        </w:tc>
      </w:tr>
    </w:tbl>
    <w:p w14:paraId="666E887E" w14:textId="77777777" w:rsidR="00C80B1D" w:rsidRDefault="00C80B1D" w:rsidP="00BA59A2">
      <w:pPr>
        <w:jc w:val="both"/>
        <w:rPr>
          <w:sz w:val="24"/>
          <w:szCs w:val="24"/>
        </w:rPr>
      </w:pPr>
    </w:p>
    <w:p w14:paraId="39772A0F" w14:textId="10C5B6A4" w:rsidR="00013241" w:rsidRDefault="00BE3A1F" w:rsidP="00BA59A2">
      <w:pPr>
        <w:jc w:val="both"/>
      </w:pPr>
      <w:r w:rsidRPr="00BE3A1F">
        <w:t>On top of</w:t>
      </w:r>
      <w:r>
        <w:t xml:space="preserve"> a modest worth, the </w:t>
      </w:r>
      <w:r w:rsidR="00E136D9">
        <w:t xml:space="preserve">interconnection </w:t>
      </w:r>
      <w:r w:rsidR="006944B7">
        <w:t>game has little stability: over the partition-based cores computed, only the externality-free core is</w:t>
      </w:r>
      <w:r w:rsidR="00910E77">
        <w:t xml:space="preserve"> non-empty, but the externality-free </w:t>
      </w:r>
      <w:r w:rsidR="006944B7">
        <w:t xml:space="preserve">value is not in this core. On the other hand, the </w:t>
      </w:r>
      <w:r w:rsidR="009D6C55">
        <w:t xml:space="preserve">capacity </w:t>
      </w:r>
      <w:r w:rsidR="006944B7">
        <w:t xml:space="preserve">game stability is very robust: the optimistic core is non-empty, and </w:t>
      </w:r>
      <w:r w:rsidR="00910E77">
        <w:t>all the computed values, including the market allocation, are in that core</w:t>
      </w:r>
      <w:r w:rsidR="006944B7">
        <w:t>.</w:t>
      </w:r>
      <w:r w:rsidR="00910E77">
        <w:t xml:space="preserve"> The full game’s stability is a mixed result: the optimistic core is empty, b</w:t>
      </w:r>
      <w:r w:rsidR="00013241">
        <w:t>ut</w:t>
      </w:r>
      <w:r w:rsidR="00910E77">
        <w:t xml:space="preserve"> the externality-free and the average cores are non-empty</w:t>
      </w:r>
      <w:r w:rsidR="00B72DA5">
        <w:t xml:space="preserve"> with</w:t>
      </w:r>
      <w:r w:rsidR="00910E77">
        <w:t xml:space="preserve"> their associated value</w:t>
      </w:r>
      <w:r w:rsidR="00B72DA5">
        <w:t xml:space="preserve"> within </w:t>
      </w:r>
      <w:r w:rsidR="00910E77">
        <w:t>them. The market allocation is only in the externality-free core.</w:t>
      </w:r>
    </w:p>
    <w:p w14:paraId="2B954496" w14:textId="77777777" w:rsidR="00BE3A1F" w:rsidRPr="00D578AE" w:rsidRDefault="00013241" w:rsidP="00BA59A2">
      <w:pPr>
        <w:pStyle w:val="Lgende"/>
        <w:keepNext/>
        <w:spacing w:before="120"/>
        <w:jc w:val="both"/>
        <w:rPr>
          <w:sz w:val="20"/>
          <w:szCs w:val="20"/>
        </w:rPr>
      </w:pPr>
      <w:r w:rsidRPr="00D578AE">
        <w:rPr>
          <w:sz w:val="20"/>
          <w:szCs w:val="20"/>
        </w:rPr>
        <w:t xml:space="preserve">Figure </w:t>
      </w:r>
      <w:r w:rsidRPr="00D578AE">
        <w:rPr>
          <w:sz w:val="20"/>
          <w:szCs w:val="20"/>
        </w:rPr>
        <w:fldChar w:fldCharType="begin"/>
      </w:r>
      <w:r w:rsidRPr="00D578AE">
        <w:rPr>
          <w:sz w:val="20"/>
          <w:szCs w:val="20"/>
        </w:rPr>
        <w:instrText xml:space="preserve"> SEQ Figure \* ARABIC </w:instrText>
      </w:r>
      <w:r w:rsidRPr="00D578AE">
        <w:rPr>
          <w:sz w:val="20"/>
          <w:szCs w:val="20"/>
        </w:rPr>
        <w:fldChar w:fldCharType="separate"/>
      </w:r>
      <w:r w:rsidRPr="00D578AE">
        <w:rPr>
          <w:noProof/>
          <w:sz w:val="20"/>
          <w:szCs w:val="20"/>
        </w:rPr>
        <w:t>1</w:t>
      </w:r>
      <w:r w:rsidRPr="00D578AE">
        <w:rPr>
          <w:sz w:val="20"/>
          <w:szCs w:val="20"/>
        </w:rPr>
        <w:fldChar w:fldCharType="end"/>
      </w:r>
      <w:r w:rsidR="00392321">
        <w:rPr>
          <w:sz w:val="20"/>
          <w:szCs w:val="20"/>
        </w:rPr>
        <w:t>: Values for</w:t>
      </w:r>
      <w:r w:rsidRPr="00D578AE">
        <w:rPr>
          <w:sz w:val="20"/>
          <w:szCs w:val="20"/>
        </w:rPr>
        <w:t xml:space="preserve"> the three games</w:t>
      </w:r>
    </w:p>
    <w:p w14:paraId="1874FEBE" w14:textId="77777777" w:rsidR="00BA5A1C" w:rsidRDefault="00AD4D38" w:rsidP="00BA59A2">
      <w:pPr>
        <w:ind w:left="-567"/>
        <w:jc w:val="both"/>
      </w:pPr>
      <w:r>
        <w:rPr>
          <w:noProof/>
          <w:lang w:val="fr-CA" w:eastAsia="fr-CA"/>
        </w:rPr>
        <w:drawing>
          <wp:inline distT="0" distB="0" distL="0" distR="0" wp14:anchorId="2A25CCEB" wp14:editId="07332CD7">
            <wp:extent cx="6826102" cy="226953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alu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63010" cy="2281804"/>
                    </a:xfrm>
                    <a:prstGeom prst="rect">
                      <a:avLst/>
                    </a:prstGeom>
                  </pic:spPr>
                </pic:pic>
              </a:graphicData>
            </a:graphic>
          </wp:inline>
        </w:drawing>
      </w:r>
    </w:p>
    <w:p w14:paraId="5B5D871A" w14:textId="77777777" w:rsidR="00BA5A1C" w:rsidRPr="00BA5A1C" w:rsidRDefault="0032700D" w:rsidP="00BA59A2">
      <w:pPr>
        <w:jc w:val="both"/>
      </w:pPr>
      <w:r>
        <w:t xml:space="preserve">Figure 1 displays the externality-free value—which get rid of the effect of externality—and the average value—which consider the average over a probability distribution of the externalities—for the three games.  The comparison of these two values provides a measure of each region’s </w:t>
      </w:r>
      <w:r w:rsidR="00BA5A1C">
        <w:t>sensitivity to externalities. Québec, which is the structural exporter in our model, suffer</w:t>
      </w:r>
      <w:r>
        <w:t>s on average</w:t>
      </w:r>
      <w:r w:rsidR="00BA5A1C">
        <w:t xml:space="preserve"> from negative externalities, and </w:t>
      </w:r>
      <w:r>
        <w:t>is consequently</w:t>
      </w:r>
      <w:r w:rsidR="00AD4D38">
        <w:t xml:space="preserve"> more</w:t>
      </w:r>
      <w:r w:rsidR="00BA5A1C">
        <w:t xml:space="preserve"> interest</w:t>
      </w:r>
      <w:r>
        <w:t>ed</w:t>
      </w:r>
      <w:r w:rsidR="00BA5A1C">
        <w:t xml:space="preserve"> </w:t>
      </w:r>
      <w:r w:rsidR="00AD4D38">
        <w:t>in the grand coalition</w:t>
      </w:r>
      <w:r w:rsidR="00BA5A1C">
        <w:t>. New York and New England, which are structural importers in the model, profits on average form positive externalities, and have less incentives to form the grand coalition.</w:t>
      </w:r>
    </w:p>
    <w:p w14:paraId="2E14E69C" w14:textId="77777777" w:rsidR="00C80B1D" w:rsidRDefault="00C80B1D" w:rsidP="00BA59A2">
      <w:pPr>
        <w:pStyle w:val="Titre2"/>
        <w:jc w:val="both"/>
        <w:rPr>
          <w:i w:val="0"/>
          <w:sz w:val="24"/>
          <w:szCs w:val="24"/>
        </w:rPr>
      </w:pPr>
      <w:r w:rsidRPr="00D767DA">
        <w:rPr>
          <w:i w:val="0"/>
          <w:sz w:val="24"/>
          <w:szCs w:val="24"/>
        </w:rPr>
        <w:t>Conclusions</w:t>
      </w:r>
    </w:p>
    <w:p w14:paraId="72DFB34E" w14:textId="1B5F9E6D" w:rsidR="00013241" w:rsidRPr="00013241" w:rsidRDefault="00BA5A1C" w:rsidP="00BA59A2">
      <w:pPr>
        <w:jc w:val="both"/>
      </w:pPr>
      <w:r>
        <w:t>Regulated investment in interconnection needs agreements, which is hardly attainable in practice. We illustrated this case with cooperative game theory</w:t>
      </w:r>
      <w:r w:rsidR="00D578AE">
        <w:t xml:space="preserve">: the </w:t>
      </w:r>
      <w:r w:rsidR="005A1EAC">
        <w:t xml:space="preserve">interconnection </w:t>
      </w:r>
      <w:r w:rsidR="00D578AE">
        <w:t>game stability suffers heavily from externalities. In the setting of our numerical optimization, we show that sharing reserve capacity on the other hand is much more stable, is more robust to externalities, and provide</w:t>
      </w:r>
      <w:r w:rsidR="00B72DA5">
        <w:t>s</w:t>
      </w:r>
      <w:r w:rsidR="00D578AE">
        <w:t xml:space="preserve"> </w:t>
      </w:r>
      <w:r w:rsidR="0032700D">
        <w:t xml:space="preserve">a </w:t>
      </w:r>
      <w:r w:rsidR="00D578AE">
        <w:t>greater value. It can further be used as a first step for investment in interconnect</w:t>
      </w:r>
      <w:r w:rsidR="0032700D">
        <w:t>ion.</w:t>
      </w:r>
      <w:r w:rsidR="00D578AE">
        <w:t xml:space="preserve"> </w:t>
      </w:r>
      <w:r>
        <w:t xml:space="preserve">  </w:t>
      </w:r>
    </w:p>
    <w:p w14:paraId="0AEE9FDD" w14:textId="77777777" w:rsidR="00C80B1D" w:rsidRPr="00685DD7" w:rsidRDefault="00C80B1D" w:rsidP="00685DD7">
      <w:pPr>
        <w:pStyle w:val="Titre2"/>
        <w:rPr>
          <w:i w:val="0"/>
          <w:sz w:val="24"/>
          <w:szCs w:val="24"/>
          <w:lang w:val="en-CA"/>
        </w:rPr>
      </w:pPr>
      <w:r w:rsidRPr="00685DD7">
        <w:rPr>
          <w:i w:val="0"/>
          <w:sz w:val="24"/>
          <w:szCs w:val="24"/>
          <w:lang w:val="en-CA"/>
        </w:rPr>
        <w:t>References</w:t>
      </w:r>
    </w:p>
    <w:p w14:paraId="7F77A3BE" w14:textId="77777777" w:rsidR="00685DD7" w:rsidRDefault="00685DD7" w:rsidP="00AC7DEC">
      <w:pPr>
        <w:spacing w:line="276" w:lineRule="auto"/>
        <w:rPr>
          <w:lang w:val="en-CA"/>
        </w:rPr>
      </w:pPr>
      <w:r w:rsidRPr="00685DD7">
        <w:rPr>
          <w:lang w:val="en-CA"/>
        </w:rPr>
        <w:t xml:space="preserve">Abe, T., Funaki, Y., 2017. </w:t>
      </w:r>
      <w:r w:rsidRPr="00685DD7">
        <w:rPr>
          <w:i/>
          <w:lang w:val="en-CA"/>
        </w:rPr>
        <w:t>The non-emptiness of the core of a partition function form game</w:t>
      </w:r>
      <w:r w:rsidRPr="00685DD7">
        <w:rPr>
          <w:lang w:val="en-CA"/>
        </w:rPr>
        <w:t>. International Journal of Game Theory 46, pp.715–736.</w:t>
      </w:r>
    </w:p>
    <w:p w14:paraId="2BD1B4A6" w14:textId="3DE9B0B5" w:rsidR="00AC7DEC" w:rsidRPr="00AC7DEC" w:rsidRDefault="00AC7DEC" w:rsidP="00AC7DEC">
      <w:pPr>
        <w:spacing w:line="276" w:lineRule="auto"/>
        <w:rPr>
          <w:sz w:val="36"/>
          <w:szCs w:val="36"/>
          <w:lang w:val="en-CA"/>
        </w:rPr>
      </w:pPr>
      <w:r w:rsidRPr="00AC7DEC">
        <w:rPr>
          <w:lang w:val="en-CA"/>
        </w:rPr>
        <w:t xml:space="preserve">Debia, S., Pineau, P-O, Rodríguez, J. A., 2018. </w:t>
      </w:r>
      <w:r w:rsidR="005A1EAC" w:rsidRPr="00057836">
        <w:rPr>
          <w:i/>
          <w:lang w:val="en-CA"/>
        </w:rPr>
        <w:t>The cost of decarboni</w:t>
      </w:r>
      <w:r w:rsidR="00307995">
        <w:rPr>
          <w:i/>
          <w:lang w:val="en-CA"/>
        </w:rPr>
        <w:t>zing</w:t>
      </w:r>
      <w:r w:rsidR="005A1EAC" w:rsidRPr="00057836">
        <w:rPr>
          <w:i/>
          <w:lang w:val="en-CA"/>
        </w:rPr>
        <w:t xml:space="preserve"> </w:t>
      </w:r>
      <w:r w:rsidR="002228C0">
        <w:rPr>
          <w:i/>
          <w:lang w:val="en-CA"/>
        </w:rPr>
        <w:t>the</w:t>
      </w:r>
      <w:r w:rsidR="005A1EAC" w:rsidRPr="00057836">
        <w:rPr>
          <w:i/>
          <w:lang w:val="en-CA"/>
        </w:rPr>
        <w:t xml:space="preserve"> </w:t>
      </w:r>
      <w:r w:rsidR="00307995">
        <w:rPr>
          <w:i/>
          <w:lang w:val="en-CA"/>
        </w:rPr>
        <w:t>Northeast electricity</w:t>
      </w:r>
      <w:r w:rsidR="00307995">
        <w:rPr>
          <w:i/>
          <w:lang w:val="en-CA"/>
        </w:rPr>
        <w:t xml:space="preserve"> </w:t>
      </w:r>
      <w:r w:rsidR="00307995">
        <w:rPr>
          <w:i/>
          <w:lang w:val="en-CA"/>
        </w:rPr>
        <w:t>sector</w:t>
      </w:r>
      <w:r w:rsidR="005A1EAC">
        <w:rPr>
          <w:lang w:val="en-CA"/>
        </w:rPr>
        <w:t>, working paper.</w:t>
      </w:r>
    </w:p>
    <w:p w14:paraId="270C0B43" w14:textId="77777777" w:rsidR="00685DD7" w:rsidRPr="00685DD7" w:rsidRDefault="00685DD7" w:rsidP="00AC7DEC">
      <w:pPr>
        <w:spacing w:line="276" w:lineRule="auto"/>
        <w:rPr>
          <w:lang w:val="en-CA"/>
        </w:rPr>
      </w:pPr>
      <w:r w:rsidRPr="00B72DA5">
        <w:rPr>
          <w:lang w:val="fr-CA"/>
        </w:rPr>
        <w:t xml:space="preserve">De Clippel, G., Serrano, R., 2008. </w:t>
      </w:r>
      <w:r w:rsidRPr="00685DD7">
        <w:rPr>
          <w:i/>
          <w:lang w:val="en-CA"/>
        </w:rPr>
        <w:t>Marginal contributions and externalities in the value</w:t>
      </w:r>
      <w:r w:rsidRPr="00685DD7">
        <w:rPr>
          <w:lang w:val="en-CA"/>
        </w:rPr>
        <w:t>. Econometrica 76 (6), pp.1413–1436.</w:t>
      </w:r>
    </w:p>
    <w:p w14:paraId="1418E3B5" w14:textId="77777777" w:rsidR="00DC31CF" w:rsidRDefault="00392321" w:rsidP="00AC7DEC">
      <w:pPr>
        <w:spacing w:line="276" w:lineRule="auto"/>
        <w:rPr>
          <w:lang w:val="en-CA"/>
        </w:rPr>
      </w:pPr>
      <w:r w:rsidRPr="00685DD7">
        <w:rPr>
          <w:lang w:val="en-CA"/>
        </w:rPr>
        <w:t>Kristiansen, M., Muñ</w:t>
      </w:r>
      <w:r w:rsidR="00685DD7" w:rsidRPr="00685DD7">
        <w:rPr>
          <w:lang w:val="en-CA"/>
        </w:rPr>
        <w:t>oz, F. D., Oren, S., Korpå</w:t>
      </w:r>
      <w:r w:rsidRPr="00685DD7">
        <w:rPr>
          <w:lang w:val="en-CA"/>
        </w:rPr>
        <w:t xml:space="preserve">s, M., 2018. </w:t>
      </w:r>
      <w:r w:rsidRPr="00685DD7">
        <w:rPr>
          <w:i/>
          <w:lang w:val="en-CA"/>
        </w:rPr>
        <w:t>A mechanism for allocating</w:t>
      </w:r>
      <w:r w:rsidR="00685DD7" w:rsidRPr="00685DD7">
        <w:rPr>
          <w:i/>
          <w:lang w:val="en-CA"/>
        </w:rPr>
        <w:t xml:space="preserve"> </w:t>
      </w:r>
      <w:r w:rsidRPr="00685DD7">
        <w:rPr>
          <w:i/>
          <w:lang w:val="en-CA"/>
        </w:rPr>
        <w:t>benefits and costs from transmission interconnections under cooperation: A case study of</w:t>
      </w:r>
      <w:r w:rsidR="00685DD7" w:rsidRPr="00685DD7">
        <w:rPr>
          <w:i/>
          <w:lang w:val="en-CA"/>
        </w:rPr>
        <w:t xml:space="preserve"> </w:t>
      </w:r>
      <w:r w:rsidRPr="00685DD7">
        <w:rPr>
          <w:i/>
          <w:lang w:val="en-CA"/>
        </w:rPr>
        <w:t xml:space="preserve">the </w:t>
      </w:r>
      <w:r w:rsidR="00685DD7" w:rsidRPr="00685DD7">
        <w:rPr>
          <w:i/>
          <w:lang w:val="en-CA"/>
        </w:rPr>
        <w:t>N</w:t>
      </w:r>
      <w:r w:rsidRPr="00685DD7">
        <w:rPr>
          <w:i/>
          <w:lang w:val="en-CA"/>
        </w:rPr>
        <w:t xml:space="preserve">orth </w:t>
      </w:r>
      <w:r w:rsidR="00685DD7" w:rsidRPr="00685DD7">
        <w:rPr>
          <w:i/>
          <w:lang w:val="en-CA"/>
        </w:rPr>
        <w:t>Sea</w:t>
      </w:r>
      <w:r w:rsidRPr="00685DD7">
        <w:rPr>
          <w:i/>
          <w:lang w:val="en-CA"/>
        </w:rPr>
        <w:t xml:space="preserve"> offshore grid</w:t>
      </w:r>
      <w:r w:rsidR="00685DD7" w:rsidRPr="00685DD7">
        <w:rPr>
          <w:lang w:val="en-CA"/>
        </w:rPr>
        <w:t xml:space="preserve">. The Energy Journal 39 </w:t>
      </w:r>
      <w:r w:rsidRPr="00685DD7">
        <w:rPr>
          <w:lang w:val="en-CA"/>
        </w:rPr>
        <w:t>(6),</w:t>
      </w:r>
      <w:r w:rsidR="00685DD7" w:rsidRPr="00685DD7">
        <w:rPr>
          <w:lang w:val="en-CA"/>
        </w:rPr>
        <w:t xml:space="preserve"> pp.</w:t>
      </w:r>
      <w:r w:rsidRPr="00685DD7">
        <w:rPr>
          <w:lang w:val="en-CA"/>
        </w:rPr>
        <w:t>209–234.</w:t>
      </w:r>
    </w:p>
    <w:p w14:paraId="19E44C7B" w14:textId="77777777" w:rsidR="00AC7DEC" w:rsidRPr="00AC7DEC" w:rsidRDefault="00AC7DEC" w:rsidP="00AC7DEC">
      <w:pPr>
        <w:spacing w:line="276" w:lineRule="auto"/>
        <w:rPr>
          <w:lang w:val="en-CA"/>
        </w:rPr>
      </w:pPr>
      <w:r>
        <w:rPr>
          <w:lang w:val="en-CA"/>
        </w:rPr>
        <w:t xml:space="preserve">Littlechild, S., 2012. </w:t>
      </w:r>
      <w:r w:rsidRPr="00AC7DEC">
        <w:rPr>
          <w:i/>
          <w:lang w:val="en-CA"/>
        </w:rPr>
        <w:t>Merchant and regulated transmission: theory, evidence and policy</w:t>
      </w:r>
      <w:r>
        <w:rPr>
          <w:i/>
          <w:lang w:val="en-CA"/>
        </w:rPr>
        <w:t xml:space="preserve">. </w:t>
      </w:r>
      <w:r>
        <w:rPr>
          <w:lang w:val="en-CA"/>
        </w:rPr>
        <w:t>Journal of Regulatory Economics 42, pp.308–335.</w:t>
      </w:r>
    </w:p>
    <w:p w14:paraId="6656C739" w14:textId="77777777" w:rsidR="00685DD7" w:rsidRPr="00685DD7" w:rsidRDefault="00685DD7" w:rsidP="00AC7DEC">
      <w:pPr>
        <w:spacing w:line="276" w:lineRule="auto"/>
        <w:rPr>
          <w:lang w:val="en-CA"/>
        </w:rPr>
      </w:pPr>
      <w:r w:rsidRPr="00685DD7">
        <w:rPr>
          <w:lang w:val="en-CA"/>
        </w:rPr>
        <w:t xml:space="preserve">Macho-Stadler, I., Pérez-Castrillo, D., Wettstein, D., 2007. </w:t>
      </w:r>
      <w:r w:rsidRPr="00685DD7">
        <w:rPr>
          <w:i/>
          <w:lang w:val="en-CA"/>
        </w:rPr>
        <w:t>Sharing the surplus: An extension of the Shapley value for environments with externalities</w:t>
      </w:r>
      <w:r>
        <w:rPr>
          <w:lang w:val="en-CA"/>
        </w:rPr>
        <w:t xml:space="preserve">. Journal of Economic Theory </w:t>
      </w:r>
      <w:r w:rsidRPr="00685DD7">
        <w:rPr>
          <w:lang w:val="en-CA"/>
        </w:rPr>
        <w:t xml:space="preserve">135 (1), </w:t>
      </w:r>
      <w:r>
        <w:rPr>
          <w:lang w:val="en-CA"/>
        </w:rPr>
        <w:t>pp.</w:t>
      </w:r>
      <w:r w:rsidRPr="00685DD7">
        <w:rPr>
          <w:lang w:val="en-CA"/>
        </w:rPr>
        <w:t>339–356.</w:t>
      </w:r>
    </w:p>
    <w:sectPr w:rsidR="00685DD7" w:rsidRPr="00685DD7" w:rsidSect="00C80B1D">
      <w:footerReference w:type="even" r:id="rId8"/>
      <w:footerReference w:type="default" r:id="rId9"/>
      <w:headerReference w:type="first" r:id="rId10"/>
      <w:footerReference w:type="first" r:id="rId11"/>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9259F" w14:textId="77777777" w:rsidR="00B22BEF" w:rsidRDefault="00B22BEF" w:rsidP="007539B3">
      <w:r>
        <w:separator/>
      </w:r>
    </w:p>
  </w:endnote>
  <w:endnote w:type="continuationSeparator" w:id="0">
    <w:p w14:paraId="328510FE" w14:textId="77777777" w:rsidR="00B22BEF" w:rsidRDefault="00B22BEF" w:rsidP="0075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E1787" w14:textId="77777777" w:rsidR="00D61149" w:rsidRDefault="00D61149">
    <w:pPr>
      <w:pStyle w:val="Pieddepage"/>
      <w:jc w:val="right"/>
    </w:pPr>
    <w:r>
      <w:fldChar w:fldCharType="begin"/>
    </w:r>
    <w:r>
      <w:instrText xml:space="preserve"> PAGE   \* MERGEFORMAT </w:instrText>
    </w:r>
    <w:r>
      <w:fldChar w:fldCharType="separate"/>
    </w:r>
    <w:r>
      <w:rPr>
        <w:noProof/>
      </w:rPr>
      <w:t>2</w:t>
    </w:r>
    <w:r>
      <w:rPr>
        <w:noProof/>
      </w:rPr>
      <w:fldChar w:fldCharType="end"/>
    </w:r>
  </w:p>
  <w:p w14:paraId="26C99160" w14:textId="77777777" w:rsidR="00D61149" w:rsidRDefault="00D611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E42F" w14:textId="77777777" w:rsidR="00D61149" w:rsidRDefault="00D61149">
    <w:pPr>
      <w:pStyle w:val="Pieddepage"/>
      <w:jc w:val="right"/>
    </w:pPr>
    <w:r>
      <w:fldChar w:fldCharType="begin"/>
    </w:r>
    <w:r>
      <w:instrText xml:space="preserve"> PAGE   \* MERGEFORMAT </w:instrText>
    </w:r>
    <w:r>
      <w:fldChar w:fldCharType="separate"/>
    </w:r>
    <w:r w:rsidR="00BA59A2">
      <w:rPr>
        <w:noProof/>
      </w:rPr>
      <w:t>2</w:t>
    </w:r>
    <w:r>
      <w:rPr>
        <w:noProof/>
      </w:rPr>
      <w:fldChar w:fldCharType="end"/>
    </w:r>
  </w:p>
  <w:p w14:paraId="6597D96E" w14:textId="77777777" w:rsidR="00D61149" w:rsidRDefault="00D6114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DA15" w14:textId="77777777" w:rsidR="00D61149" w:rsidRDefault="00D61149">
    <w:pPr>
      <w:pStyle w:val="Pieddepage"/>
      <w:jc w:val="right"/>
    </w:pPr>
    <w:r>
      <w:fldChar w:fldCharType="begin"/>
    </w:r>
    <w:r>
      <w:instrText xml:space="preserve"> PAGE   \* MERGEFORMAT </w:instrText>
    </w:r>
    <w:r>
      <w:fldChar w:fldCharType="separate"/>
    </w:r>
    <w:r w:rsidR="008E2090">
      <w:rPr>
        <w:noProof/>
      </w:rPr>
      <w:t>1</w:t>
    </w:r>
    <w:r>
      <w:rPr>
        <w:noProof/>
      </w:rPr>
      <w:fldChar w:fldCharType="end"/>
    </w:r>
  </w:p>
  <w:p w14:paraId="33A84267" w14:textId="77777777" w:rsidR="00D61149" w:rsidRDefault="00D611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E6DF" w14:textId="77777777" w:rsidR="00B22BEF" w:rsidRDefault="00B22BEF" w:rsidP="007539B3">
      <w:r>
        <w:separator/>
      </w:r>
    </w:p>
  </w:footnote>
  <w:footnote w:type="continuationSeparator" w:id="0">
    <w:p w14:paraId="74EC4973" w14:textId="77777777" w:rsidR="00B22BEF" w:rsidRDefault="00B22BEF" w:rsidP="0075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E306" w14:textId="77777777" w:rsidR="00D61149" w:rsidRDefault="00D61149" w:rsidP="00D61149">
    <w:pPr>
      <w:pStyle w:val="En-tte"/>
      <w:tabs>
        <w:tab w:val="clear" w:pos="5400"/>
        <w:tab w:val="center" w:pos="851"/>
      </w:tabs>
      <w:jc w:val="right"/>
    </w:pPr>
    <w:r>
      <w:rPr>
        <w:lang w:val="en-US"/>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1D"/>
    <w:rsid w:val="00013241"/>
    <w:rsid w:val="00057836"/>
    <w:rsid w:val="00194C82"/>
    <w:rsid w:val="001E4418"/>
    <w:rsid w:val="002228C0"/>
    <w:rsid w:val="00307995"/>
    <w:rsid w:val="00320781"/>
    <w:rsid w:val="0032700D"/>
    <w:rsid w:val="00343DC6"/>
    <w:rsid w:val="00392321"/>
    <w:rsid w:val="00441177"/>
    <w:rsid w:val="0057660C"/>
    <w:rsid w:val="005A1EAC"/>
    <w:rsid w:val="00647190"/>
    <w:rsid w:val="0068196B"/>
    <w:rsid w:val="00685DD7"/>
    <w:rsid w:val="006944B7"/>
    <w:rsid w:val="007539B3"/>
    <w:rsid w:val="008873F0"/>
    <w:rsid w:val="008E2090"/>
    <w:rsid w:val="008F0F08"/>
    <w:rsid w:val="00910E77"/>
    <w:rsid w:val="009B12C2"/>
    <w:rsid w:val="009B701E"/>
    <w:rsid w:val="009D6C55"/>
    <w:rsid w:val="00AC7DEC"/>
    <w:rsid w:val="00AD4D38"/>
    <w:rsid w:val="00B22BEF"/>
    <w:rsid w:val="00B72DA5"/>
    <w:rsid w:val="00BA59A2"/>
    <w:rsid w:val="00BA5A1C"/>
    <w:rsid w:val="00BE3A1F"/>
    <w:rsid w:val="00C1596F"/>
    <w:rsid w:val="00C67ECB"/>
    <w:rsid w:val="00C80B1D"/>
    <w:rsid w:val="00C82037"/>
    <w:rsid w:val="00CE1DA0"/>
    <w:rsid w:val="00D102E7"/>
    <w:rsid w:val="00D16FD6"/>
    <w:rsid w:val="00D578AE"/>
    <w:rsid w:val="00D61149"/>
    <w:rsid w:val="00D93868"/>
    <w:rsid w:val="00DC31CF"/>
    <w:rsid w:val="00E136D9"/>
    <w:rsid w:val="00E44F99"/>
    <w:rsid w:val="00E7391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A1B0E"/>
  <w15:docId w15:val="{6CCC5372-01D9-4C73-AC85-8AE01AD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B1D"/>
    <w:pPr>
      <w:spacing w:after="0" w:line="240" w:lineRule="auto"/>
    </w:pPr>
    <w:rPr>
      <w:rFonts w:ascii="Times New Roman" w:eastAsia="Times New Roman" w:hAnsi="Times New Roman" w:cs="Times New Roman"/>
      <w:sz w:val="20"/>
      <w:szCs w:val="20"/>
      <w:lang w:val="en-GB"/>
    </w:rPr>
  </w:style>
  <w:style w:type="paragraph" w:styleId="Titre2">
    <w:name w:val="heading 2"/>
    <w:basedOn w:val="Normal"/>
    <w:next w:val="Normal"/>
    <w:link w:val="Titre2Car"/>
    <w:qFormat/>
    <w:rsid w:val="00C80B1D"/>
    <w:pPr>
      <w:keepNext/>
      <w:spacing w:before="240" w:after="60"/>
      <w:outlineLvl w:val="1"/>
    </w:pPr>
    <w:rPr>
      <w:rFonts w:ascii="Arial" w:hAnsi="Arial"/>
      <w:b/>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80B1D"/>
    <w:rPr>
      <w:rFonts w:ascii="Arial" w:eastAsia="Times New Roman" w:hAnsi="Arial" w:cs="Times New Roman"/>
      <w:b/>
      <w:i/>
      <w:szCs w:val="20"/>
      <w:lang w:val="en-GB"/>
    </w:rPr>
  </w:style>
  <w:style w:type="paragraph" w:styleId="Pieddepage">
    <w:name w:val="footer"/>
    <w:basedOn w:val="Normal"/>
    <w:link w:val="PieddepageCar"/>
    <w:uiPriority w:val="99"/>
    <w:rsid w:val="00C80B1D"/>
    <w:pPr>
      <w:tabs>
        <w:tab w:val="center" w:pos="4320"/>
        <w:tab w:val="right" w:pos="8640"/>
      </w:tabs>
    </w:pPr>
  </w:style>
  <w:style w:type="character" w:customStyle="1" w:styleId="PieddepageCar">
    <w:name w:val="Pied de page Car"/>
    <w:basedOn w:val="Policepardfaut"/>
    <w:link w:val="Pieddepage"/>
    <w:uiPriority w:val="99"/>
    <w:rsid w:val="00C80B1D"/>
    <w:rPr>
      <w:rFonts w:ascii="Times New Roman" w:eastAsia="Times New Roman" w:hAnsi="Times New Roman" w:cs="Times New Roman"/>
      <w:sz w:val="20"/>
      <w:szCs w:val="20"/>
      <w:lang w:val="en-GB"/>
    </w:rPr>
  </w:style>
  <w:style w:type="paragraph" w:styleId="En-tte">
    <w:name w:val="header"/>
    <w:basedOn w:val="Normal"/>
    <w:link w:val="En-tteCar"/>
    <w:rsid w:val="00C80B1D"/>
    <w:pPr>
      <w:tabs>
        <w:tab w:val="center" w:pos="5400"/>
        <w:tab w:val="right" w:pos="10800"/>
      </w:tabs>
    </w:pPr>
    <w:rPr>
      <w:rFonts w:ascii="Arial" w:hAnsi="Arial"/>
      <w:sz w:val="16"/>
    </w:rPr>
  </w:style>
  <w:style w:type="character" w:customStyle="1" w:styleId="En-tteCar">
    <w:name w:val="En-tête Car"/>
    <w:basedOn w:val="Policepardfaut"/>
    <w:link w:val="En-tte"/>
    <w:rsid w:val="00C80B1D"/>
    <w:rPr>
      <w:rFonts w:ascii="Arial" w:eastAsia="Times New Roman" w:hAnsi="Arial" w:cs="Times New Roman"/>
      <w:sz w:val="16"/>
      <w:szCs w:val="20"/>
      <w:lang w:val="en-GB"/>
    </w:rPr>
  </w:style>
  <w:style w:type="paragraph" w:customStyle="1" w:styleId="copyright">
    <w:name w:val="copyright"/>
    <w:basedOn w:val="Normal"/>
    <w:rsid w:val="00C80B1D"/>
    <w:pPr>
      <w:spacing w:line="140" w:lineRule="exact"/>
      <w:jc w:val="both"/>
    </w:pPr>
    <w:rPr>
      <w:rFonts w:ascii="Arial" w:hAnsi="Arial"/>
      <w:sz w:val="12"/>
    </w:rPr>
  </w:style>
  <w:style w:type="paragraph" w:styleId="Corpsdetexte">
    <w:name w:val="Body Text"/>
    <w:basedOn w:val="Normal"/>
    <w:link w:val="CorpsdetexteCar"/>
    <w:rsid w:val="00C80B1D"/>
    <w:rPr>
      <w:sz w:val="22"/>
    </w:rPr>
  </w:style>
  <w:style w:type="character" w:customStyle="1" w:styleId="CorpsdetexteCar">
    <w:name w:val="Corps de texte Car"/>
    <w:basedOn w:val="Policepardfaut"/>
    <w:link w:val="Corpsdetexte"/>
    <w:rsid w:val="00C80B1D"/>
    <w:rPr>
      <w:rFonts w:ascii="Times New Roman" w:eastAsia="Times New Roman" w:hAnsi="Times New Roman" w:cs="Times New Roman"/>
      <w:szCs w:val="20"/>
      <w:lang w:val="en-GB"/>
    </w:rPr>
  </w:style>
  <w:style w:type="paragraph" w:styleId="Corpsdetexte2">
    <w:name w:val="Body Text 2"/>
    <w:basedOn w:val="Normal"/>
    <w:link w:val="Corpsdetexte2Car"/>
    <w:rsid w:val="00C80B1D"/>
    <w:pPr>
      <w:jc w:val="both"/>
    </w:pPr>
  </w:style>
  <w:style w:type="character" w:customStyle="1" w:styleId="Corpsdetexte2Car">
    <w:name w:val="Corps de texte 2 Car"/>
    <w:basedOn w:val="Policepardfaut"/>
    <w:link w:val="Corpsdetexte2"/>
    <w:rsid w:val="00C80B1D"/>
    <w:rPr>
      <w:rFonts w:ascii="Times New Roman" w:eastAsia="Times New Roman" w:hAnsi="Times New Roman" w:cs="Times New Roman"/>
      <w:sz w:val="20"/>
      <w:szCs w:val="20"/>
      <w:lang w:val="en-GB"/>
    </w:rPr>
  </w:style>
  <w:style w:type="table" w:styleId="Grilledutableau">
    <w:name w:val="Table Grid"/>
    <w:basedOn w:val="TableauNormal"/>
    <w:uiPriority w:val="39"/>
    <w:rsid w:val="0075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7539B3"/>
    <w:pPr>
      <w:spacing w:after="200"/>
    </w:pPr>
    <w:rPr>
      <w:i/>
      <w:iCs/>
      <w:color w:val="44546A" w:themeColor="text2"/>
      <w:sz w:val="18"/>
      <w:szCs w:val="18"/>
    </w:rPr>
  </w:style>
  <w:style w:type="paragraph" w:styleId="Textedebulles">
    <w:name w:val="Balloon Text"/>
    <w:basedOn w:val="Normal"/>
    <w:link w:val="TextedebullesCar"/>
    <w:uiPriority w:val="99"/>
    <w:semiHidden/>
    <w:unhideWhenUsed/>
    <w:rsid w:val="008873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73F0"/>
    <w:rPr>
      <w:rFonts w:ascii="Segoe UI" w:eastAsia="Times New Roman" w:hAnsi="Segoe UI" w:cs="Segoe UI"/>
      <w:sz w:val="18"/>
      <w:szCs w:val="18"/>
      <w:lang w:val="en-GB"/>
    </w:rPr>
  </w:style>
  <w:style w:type="paragraph" w:styleId="Rvision">
    <w:name w:val="Revision"/>
    <w:hidden/>
    <w:uiPriority w:val="99"/>
    <w:semiHidden/>
    <w:rsid w:val="00057836"/>
    <w:pPr>
      <w:spacing w:after="0" w:line="240" w:lineRule="auto"/>
    </w:pPr>
    <w:rPr>
      <w:rFonts w:ascii="Times New Roman" w:eastAsia="Times New Roman" w:hAnsi="Times New Roman" w:cs="Times New Roman"/>
      <w:sz w:val="20"/>
      <w:szCs w:val="20"/>
      <w:lang w:val="en-GB"/>
    </w:rPr>
  </w:style>
  <w:style w:type="character" w:styleId="Marquedecommentaire">
    <w:name w:val="annotation reference"/>
    <w:basedOn w:val="Policepardfaut"/>
    <w:uiPriority w:val="99"/>
    <w:semiHidden/>
    <w:unhideWhenUsed/>
    <w:rsid w:val="00320781"/>
    <w:rPr>
      <w:sz w:val="18"/>
      <w:szCs w:val="18"/>
    </w:rPr>
  </w:style>
  <w:style w:type="paragraph" w:styleId="Commentaire">
    <w:name w:val="annotation text"/>
    <w:basedOn w:val="Normal"/>
    <w:link w:val="CommentaireCar"/>
    <w:uiPriority w:val="99"/>
    <w:semiHidden/>
    <w:unhideWhenUsed/>
    <w:rsid w:val="00320781"/>
    <w:rPr>
      <w:sz w:val="24"/>
      <w:szCs w:val="24"/>
    </w:rPr>
  </w:style>
  <w:style w:type="character" w:customStyle="1" w:styleId="CommentaireCar">
    <w:name w:val="Commentaire Car"/>
    <w:basedOn w:val="Policepardfaut"/>
    <w:link w:val="Commentaire"/>
    <w:uiPriority w:val="99"/>
    <w:semiHidden/>
    <w:rsid w:val="00320781"/>
    <w:rPr>
      <w:rFonts w:ascii="Times New Roman" w:eastAsia="Times New Roman" w:hAnsi="Times New Roman" w:cs="Times New Roman"/>
      <w:sz w:val="24"/>
      <w:szCs w:val="24"/>
      <w:lang w:val="en-GB"/>
    </w:rPr>
  </w:style>
  <w:style w:type="paragraph" w:styleId="Objetducommentaire">
    <w:name w:val="annotation subject"/>
    <w:basedOn w:val="Commentaire"/>
    <w:next w:val="Commentaire"/>
    <w:link w:val="ObjetducommentaireCar"/>
    <w:uiPriority w:val="99"/>
    <w:semiHidden/>
    <w:unhideWhenUsed/>
    <w:rsid w:val="00320781"/>
    <w:rPr>
      <w:b/>
      <w:bCs/>
      <w:sz w:val="20"/>
      <w:szCs w:val="20"/>
    </w:rPr>
  </w:style>
  <w:style w:type="character" w:customStyle="1" w:styleId="ObjetducommentaireCar">
    <w:name w:val="Objet du commentaire Car"/>
    <w:basedOn w:val="CommentaireCar"/>
    <w:link w:val="Objetducommentaire"/>
    <w:uiPriority w:val="99"/>
    <w:semiHidden/>
    <w:rsid w:val="0032078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6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9C72-F48E-42DA-8597-7A528761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1267</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HEC Montréal</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Debia</dc:creator>
  <cp:keywords/>
  <dc:description/>
  <cp:lastModifiedBy>Sebastien Debia</cp:lastModifiedBy>
  <cp:revision>5</cp:revision>
  <dcterms:created xsi:type="dcterms:W3CDTF">2018-12-17T16:26:00Z</dcterms:created>
  <dcterms:modified xsi:type="dcterms:W3CDTF">2018-12-17T16:28:00Z</dcterms:modified>
</cp:coreProperties>
</file>