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15A93" w14:textId="77777777" w:rsidR="00DC69F1" w:rsidRDefault="00DC69F1" w:rsidP="00DC69F1">
      <w:pPr>
        <w:framePr w:w="10800" w:h="2142" w:hRule="exact" w:hSpace="187" w:wrap="auto" w:vAnchor="page" w:hAnchor="page" w:x="714" w:y="1085"/>
        <w:jc w:val="center"/>
      </w:pPr>
      <w:r>
        <w:t xml:space="preserve">       </w:t>
      </w:r>
      <w:r>
        <w:tab/>
      </w:r>
      <w:r>
        <w:tab/>
      </w:r>
      <w:r>
        <w:tab/>
      </w:r>
      <w:r>
        <w:tab/>
      </w:r>
      <w:r>
        <w:tab/>
      </w:r>
      <w:r>
        <w:tab/>
      </w:r>
      <w:r>
        <w:tab/>
      </w:r>
      <w:r>
        <w:tab/>
      </w:r>
      <w:r>
        <w:tab/>
        <w:t xml:space="preserve">                                                 </w:t>
      </w:r>
      <w:r>
        <w:tab/>
      </w:r>
    </w:p>
    <w:p w14:paraId="3F0C6204" w14:textId="00A9FB6D" w:rsidR="00DC69F1" w:rsidRDefault="00D2629B" w:rsidP="00DC69F1">
      <w:pPr>
        <w:pStyle w:val="BodyText"/>
        <w:framePr w:w="10800" w:h="2142" w:hRule="exact" w:hSpace="187" w:wrap="auto" w:vAnchor="page" w:hAnchor="page" w:x="714" w:y="1085"/>
        <w:rPr>
          <w:b/>
          <w:sz w:val="28"/>
          <w:szCs w:val="28"/>
        </w:rPr>
      </w:pPr>
      <w:r>
        <w:rPr>
          <w:b/>
          <w:sz w:val="28"/>
          <w:szCs w:val="28"/>
        </w:rPr>
        <w:t>Demand Response with Incomplete Information</w:t>
      </w:r>
    </w:p>
    <w:p w14:paraId="0FB41169" w14:textId="77777777" w:rsidR="00D2629B" w:rsidRDefault="00D2629B" w:rsidP="00DC69F1">
      <w:pPr>
        <w:pStyle w:val="BodyText"/>
        <w:framePr w:w="10800" w:h="2142" w:hRule="exact" w:hSpace="187" w:wrap="auto" w:vAnchor="page" w:hAnchor="page" w:x="714" w:y="1085"/>
        <w:jc w:val="right"/>
        <w:rPr>
          <w:sz w:val="20"/>
        </w:rPr>
      </w:pPr>
    </w:p>
    <w:p w14:paraId="2DF52C64" w14:textId="5ED5E2A0" w:rsidR="00DC69F1" w:rsidRPr="00D767DA" w:rsidRDefault="00D2629B" w:rsidP="00DC69F1">
      <w:pPr>
        <w:pStyle w:val="BodyText"/>
        <w:framePr w:w="10800" w:h="2142" w:hRule="exact" w:hSpace="187" w:wrap="auto" w:vAnchor="page" w:hAnchor="page" w:x="714" w:y="1085"/>
        <w:jc w:val="right"/>
        <w:rPr>
          <w:sz w:val="20"/>
        </w:rPr>
      </w:pPr>
      <w:r w:rsidRPr="00D767DA">
        <w:rPr>
          <w:sz w:val="20"/>
        </w:rPr>
        <w:t xml:space="preserve"> </w:t>
      </w:r>
      <w:r>
        <w:rPr>
          <w:sz w:val="20"/>
        </w:rPr>
        <w:t>Ian Schneider, Institute for Data, Systems, and Society, MIT, 914-584-9139, ischneid@mit.edu</w:t>
      </w:r>
    </w:p>
    <w:p w14:paraId="6953FFB2" w14:textId="77777777" w:rsidR="00FC73E0" w:rsidRDefault="00FC73E0" w:rsidP="00D2629B">
      <w:pPr>
        <w:pStyle w:val="Heading2"/>
        <w:rPr>
          <w:i w:val="0"/>
          <w:sz w:val="24"/>
          <w:szCs w:val="24"/>
        </w:rPr>
      </w:pPr>
      <w:bookmarkStart w:id="0" w:name="_GoBack"/>
      <w:bookmarkEnd w:id="0"/>
    </w:p>
    <w:p w14:paraId="568543CD" w14:textId="77777777" w:rsidR="00DC69F1" w:rsidRPr="00476853" w:rsidRDefault="00DC69F1" w:rsidP="003524E1">
      <w:pPr>
        <w:pStyle w:val="Heading2"/>
        <w:rPr>
          <w:i w:val="0"/>
          <w:sz w:val="24"/>
          <w:szCs w:val="24"/>
        </w:rPr>
      </w:pPr>
      <w:r w:rsidRPr="00476853">
        <w:rPr>
          <w:i w:val="0"/>
          <w:sz w:val="24"/>
          <w:szCs w:val="24"/>
        </w:rPr>
        <w:t>Overview</w:t>
      </w:r>
    </w:p>
    <w:p w14:paraId="42D08FC8" w14:textId="5CA37F53" w:rsidR="00DC69F1" w:rsidRPr="006254AA" w:rsidRDefault="006254AA" w:rsidP="006254AA">
      <w:pPr>
        <w:pStyle w:val="Heading2"/>
        <w:rPr>
          <w:rFonts w:ascii="Times New Roman" w:hAnsi="Times New Roman"/>
          <w:b w:val="0"/>
          <w:i w:val="0"/>
          <w:sz w:val="20"/>
        </w:rPr>
      </w:pPr>
      <w:r w:rsidRPr="006254AA">
        <w:rPr>
          <w:rFonts w:ascii="Times New Roman" w:hAnsi="Times New Roman"/>
          <w:b w:val="0"/>
          <w:i w:val="0"/>
          <w:sz w:val="20"/>
        </w:rPr>
        <w:t xml:space="preserve">We study demand response procurement in the electricity sector. </w:t>
      </w:r>
      <w:r w:rsidR="00D2629B">
        <w:rPr>
          <w:rFonts w:ascii="Times New Roman" w:hAnsi="Times New Roman"/>
          <w:b w:val="0"/>
          <w:i w:val="0"/>
          <w:sz w:val="20"/>
        </w:rPr>
        <w:t>Currently, many c</w:t>
      </w:r>
      <w:r w:rsidRPr="006254AA">
        <w:rPr>
          <w:rFonts w:ascii="Times New Roman" w:hAnsi="Times New Roman"/>
          <w:b w:val="0"/>
          <w:i w:val="0"/>
          <w:sz w:val="20"/>
        </w:rPr>
        <w:t xml:space="preserve">onsumers have the option to buy electricity at a fixed retail rate, which leads to inefficiently high demand when the marginal cost of producing electricity exceeds the retail rate. </w:t>
      </w:r>
      <w:r w:rsidR="00D2629B">
        <w:rPr>
          <w:rFonts w:ascii="Times New Roman" w:hAnsi="Times New Roman"/>
          <w:b w:val="0"/>
          <w:i w:val="0"/>
          <w:sz w:val="20"/>
        </w:rPr>
        <w:t>In response, a load</w:t>
      </w:r>
      <w:r w:rsidRPr="006254AA">
        <w:rPr>
          <w:rFonts w:ascii="Times New Roman" w:hAnsi="Times New Roman"/>
          <w:b w:val="0"/>
          <w:i w:val="0"/>
          <w:sz w:val="20"/>
        </w:rPr>
        <w:t xml:space="preserve">-serving entity (LSE) </w:t>
      </w:r>
      <w:r w:rsidR="00D2629B">
        <w:rPr>
          <w:rFonts w:ascii="Times New Roman" w:hAnsi="Times New Roman"/>
          <w:b w:val="0"/>
          <w:i w:val="0"/>
          <w:sz w:val="20"/>
        </w:rPr>
        <w:t xml:space="preserve">or demand response (DR) aggregator </w:t>
      </w:r>
      <w:r w:rsidRPr="006254AA">
        <w:rPr>
          <w:rFonts w:ascii="Times New Roman" w:hAnsi="Times New Roman"/>
          <w:b w:val="0"/>
          <w:i w:val="0"/>
          <w:sz w:val="20"/>
        </w:rPr>
        <w:t xml:space="preserve">can develop a demand response program to reduce consumption. In many jurisdictions, the LSE can only incentivize customers; it cannot </w:t>
      </w:r>
      <w:r w:rsidR="00D2629B">
        <w:rPr>
          <w:rFonts w:ascii="Times New Roman" w:hAnsi="Times New Roman"/>
          <w:b w:val="0"/>
          <w:i w:val="0"/>
          <w:sz w:val="20"/>
        </w:rPr>
        <w:t xml:space="preserve">penalize them or </w:t>
      </w:r>
      <w:r w:rsidRPr="006254AA">
        <w:rPr>
          <w:rFonts w:ascii="Times New Roman" w:hAnsi="Times New Roman"/>
          <w:b w:val="0"/>
          <w:i w:val="0"/>
          <w:sz w:val="20"/>
        </w:rPr>
        <w:t xml:space="preserve">charge them more than the regulated retail rate. The LSE also cannot observe customers' utility functions, which are private information. </w:t>
      </w:r>
      <w:r w:rsidR="00D2629B">
        <w:rPr>
          <w:rFonts w:ascii="Times New Roman" w:hAnsi="Times New Roman"/>
          <w:b w:val="0"/>
          <w:i w:val="0"/>
          <w:sz w:val="20"/>
        </w:rPr>
        <w:t>We seek to</w:t>
      </w:r>
      <w:r w:rsidRPr="006254AA">
        <w:rPr>
          <w:rFonts w:ascii="Times New Roman" w:hAnsi="Times New Roman"/>
          <w:b w:val="0"/>
          <w:i w:val="0"/>
          <w:sz w:val="20"/>
        </w:rPr>
        <w:t xml:space="preserve"> determine the optimal demand response incentive</w:t>
      </w:r>
      <w:r w:rsidR="00D2629B">
        <w:rPr>
          <w:rFonts w:ascii="Times New Roman" w:hAnsi="Times New Roman"/>
          <w:b w:val="0"/>
          <w:i w:val="0"/>
          <w:sz w:val="20"/>
        </w:rPr>
        <w:t xml:space="preserve"> when consumers have private information and the principal </w:t>
      </w:r>
      <w:proofErr w:type="spellStart"/>
      <w:r w:rsidR="00D2629B">
        <w:rPr>
          <w:rFonts w:ascii="Times New Roman" w:hAnsi="Times New Roman"/>
          <w:b w:val="0"/>
          <w:i w:val="0"/>
          <w:sz w:val="20"/>
        </w:rPr>
        <w:t>can not</w:t>
      </w:r>
      <w:proofErr w:type="spellEnd"/>
      <w:r w:rsidR="00D2629B">
        <w:rPr>
          <w:rFonts w:ascii="Times New Roman" w:hAnsi="Times New Roman"/>
          <w:b w:val="0"/>
          <w:i w:val="0"/>
          <w:sz w:val="20"/>
        </w:rPr>
        <w:t xml:space="preserve"> penalize consumers</w:t>
      </w:r>
      <w:r w:rsidRPr="006254AA">
        <w:rPr>
          <w:rFonts w:ascii="Times New Roman" w:hAnsi="Times New Roman"/>
          <w:b w:val="0"/>
          <w:i w:val="0"/>
          <w:sz w:val="20"/>
        </w:rPr>
        <w:t xml:space="preserve">. We present conditions for the optimal (piecewise) linear </w:t>
      </w:r>
      <w:proofErr w:type="gramStart"/>
      <w:r w:rsidRPr="006254AA">
        <w:rPr>
          <w:rFonts w:ascii="Times New Roman" w:hAnsi="Times New Roman"/>
          <w:b w:val="0"/>
          <w:i w:val="0"/>
          <w:sz w:val="20"/>
        </w:rPr>
        <w:t>contract;  consumers</w:t>
      </w:r>
      <w:proofErr w:type="gramEnd"/>
      <w:r w:rsidRPr="006254AA">
        <w:rPr>
          <w:rFonts w:ascii="Times New Roman" w:hAnsi="Times New Roman"/>
          <w:b w:val="0"/>
          <w:i w:val="0"/>
          <w:sz w:val="20"/>
        </w:rPr>
        <w:t xml:space="preserve"> get paid per unit of reduction below an established baseline. Contrary to common practice, it is rarely optimal to make the baseline the expected value of the counter-factual consumption at the retail rate, even in the absence of strategic </w:t>
      </w:r>
      <w:proofErr w:type="spellStart"/>
      <w:r w:rsidRPr="006254AA">
        <w:rPr>
          <w:rFonts w:ascii="Times New Roman" w:hAnsi="Times New Roman"/>
          <w:b w:val="0"/>
          <w:i w:val="0"/>
          <w:sz w:val="20"/>
        </w:rPr>
        <w:t>behavior</w:t>
      </w:r>
      <w:proofErr w:type="spellEnd"/>
      <w:r w:rsidRPr="006254AA">
        <w:rPr>
          <w:rFonts w:ascii="Times New Roman" w:hAnsi="Times New Roman"/>
          <w:b w:val="0"/>
          <w:i w:val="0"/>
          <w:sz w:val="20"/>
        </w:rPr>
        <w:t xml:space="preserve"> by consumers. We extend numerical examples from </w:t>
      </w:r>
      <w:r w:rsidR="00D2629B">
        <w:rPr>
          <w:rFonts w:ascii="Times New Roman" w:hAnsi="Times New Roman"/>
          <w:b w:val="0"/>
          <w:i w:val="0"/>
          <w:sz w:val="20"/>
        </w:rPr>
        <w:t>(Chao, 2010)</w:t>
      </w:r>
      <w:r w:rsidRPr="006254AA">
        <w:rPr>
          <w:rFonts w:ascii="Times New Roman" w:hAnsi="Times New Roman"/>
          <w:b w:val="0"/>
          <w:i w:val="0"/>
          <w:sz w:val="20"/>
        </w:rPr>
        <w:t xml:space="preserve"> to emphasize the cost of incomplete information. </w:t>
      </w:r>
    </w:p>
    <w:p w14:paraId="5628CA4A" w14:textId="77777777" w:rsidR="00DC69F1" w:rsidRPr="00D767DA" w:rsidRDefault="00DC69F1">
      <w:pPr>
        <w:pStyle w:val="Heading2"/>
        <w:rPr>
          <w:i w:val="0"/>
          <w:sz w:val="24"/>
          <w:szCs w:val="24"/>
        </w:rPr>
      </w:pPr>
      <w:r w:rsidRPr="00D767DA">
        <w:rPr>
          <w:i w:val="0"/>
          <w:sz w:val="24"/>
          <w:szCs w:val="24"/>
        </w:rPr>
        <w:t>Methods</w:t>
      </w:r>
    </w:p>
    <w:p w14:paraId="53603124" w14:textId="09B4EE44" w:rsidR="00961948" w:rsidRDefault="00961948" w:rsidP="00D2629B">
      <w:pPr>
        <w:pStyle w:val="Heading2"/>
        <w:rPr>
          <w:rFonts w:ascii="Times New Roman" w:hAnsi="Times New Roman"/>
          <w:b w:val="0"/>
          <w:i w:val="0"/>
          <w:sz w:val="20"/>
        </w:rPr>
      </w:pPr>
      <w:r>
        <w:rPr>
          <w:rFonts w:ascii="Times New Roman" w:hAnsi="Times New Roman"/>
          <w:b w:val="0"/>
          <w:i w:val="0"/>
          <w:sz w:val="20"/>
        </w:rPr>
        <w:t xml:space="preserve">We develop a model of demand response where the customer utility function and their counterfactual energy consumption are private information. </w:t>
      </w:r>
      <w:r>
        <w:rPr>
          <w:rFonts w:ascii="Times New Roman" w:hAnsi="Times New Roman"/>
          <w:b w:val="0"/>
          <w:i w:val="0"/>
          <w:sz w:val="20"/>
        </w:rPr>
        <w:t>We use tools from microeconomics, contract theory, and optimization to</w:t>
      </w:r>
      <w:r>
        <w:rPr>
          <w:rFonts w:ascii="Times New Roman" w:hAnsi="Times New Roman"/>
          <w:b w:val="0"/>
          <w:i w:val="0"/>
          <w:sz w:val="20"/>
        </w:rPr>
        <w:t xml:space="preserve"> derive results, with the goal of understanding how aggregators and load-serving entities should optimally contract for demand response in the presence of incomplete and private information. </w:t>
      </w:r>
    </w:p>
    <w:p w14:paraId="7674BD58" w14:textId="075E9AAA" w:rsidR="00D2629B" w:rsidRPr="00D2629B" w:rsidRDefault="00D2629B" w:rsidP="00D2629B">
      <w:pPr>
        <w:pStyle w:val="Heading2"/>
        <w:rPr>
          <w:rFonts w:ascii="Times New Roman" w:hAnsi="Times New Roman"/>
          <w:b w:val="0"/>
          <w:i w:val="0"/>
          <w:sz w:val="20"/>
        </w:rPr>
      </w:pPr>
      <w:r w:rsidRPr="00D2629B">
        <w:rPr>
          <w:rFonts w:ascii="Times New Roman" w:hAnsi="Times New Roman"/>
          <w:b w:val="0"/>
          <w:i w:val="0"/>
          <w:sz w:val="20"/>
        </w:rPr>
        <w:t>Consider a single consumer with type</w:t>
      </w:r>
      <w:r>
        <w:rPr>
          <w:rFonts w:ascii="Times New Roman" w:hAnsi="Times New Roman"/>
          <w:b w:val="0"/>
          <w:i w:val="0"/>
          <w:sz w:val="20"/>
        </w:rPr>
        <w:t xml:space="preserve"> </w:t>
      </w:r>
      <m:oMath>
        <m:r>
          <w:rPr>
            <w:rFonts w:ascii="Cambria Math" w:hAnsi="Cambria Math"/>
            <w:sz w:val="20"/>
          </w:rPr>
          <m:t>θ</m:t>
        </m:r>
      </m:oMath>
      <w:r w:rsidR="007D62F3">
        <w:rPr>
          <w:rFonts w:ascii="Times New Roman" w:hAnsi="Times New Roman"/>
          <w:b w:val="0"/>
          <w:i w:val="0"/>
          <w:sz w:val="20"/>
        </w:rPr>
        <w:t xml:space="preserve">, which defines a </w:t>
      </w:r>
      <w:r w:rsidRPr="00D2629B">
        <w:rPr>
          <w:rFonts w:ascii="Times New Roman" w:hAnsi="Times New Roman"/>
          <w:b w:val="0"/>
          <w:i w:val="0"/>
          <w:sz w:val="20"/>
        </w:rPr>
        <w:t xml:space="preserve">concave, increasing utility function for consuming electricity </w:t>
      </w:r>
      <m:oMath>
        <m:sSub>
          <m:sSubPr>
            <m:ctrlPr>
              <w:rPr>
                <w:rFonts w:ascii="Cambria Math" w:hAnsi="Cambria Math"/>
                <w:b w:val="0"/>
                <w:sz w:val="20"/>
              </w:rPr>
            </m:ctrlPr>
          </m:sSubPr>
          <m:e>
            <m:r>
              <w:rPr>
                <w:rFonts w:ascii="Cambria Math" w:hAnsi="Cambria Math"/>
                <w:sz w:val="20"/>
              </w:rPr>
              <m:t>U</m:t>
            </m:r>
          </m:e>
          <m:sub>
            <m:r>
              <w:rPr>
                <w:rFonts w:ascii="Cambria Math" w:hAnsi="Cambria Math"/>
                <w:sz w:val="20"/>
              </w:rPr>
              <m:t>θ</m:t>
            </m:r>
          </m:sub>
        </m:sSub>
      </m:oMath>
      <w:r w:rsidRPr="00D2629B">
        <w:rPr>
          <w:rFonts w:ascii="Times New Roman" w:hAnsi="Times New Roman"/>
          <w:b w:val="0"/>
          <w:i w:val="0"/>
          <w:sz w:val="20"/>
        </w:rPr>
        <w:t xml:space="preserve">. The consumer has an existing option to purchase electricity (per kWh) from a utility or LSE at a flat retail rate </w:t>
      </w:r>
      <w:r w:rsidRPr="00567821">
        <w:rPr>
          <w:rFonts w:ascii="Times New Roman" w:hAnsi="Times New Roman"/>
          <w:b w:val="0"/>
          <w:sz w:val="20"/>
        </w:rPr>
        <w:t>R.</w:t>
      </w:r>
      <w:r w:rsidRPr="00D2629B">
        <w:rPr>
          <w:rFonts w:ascii="Times New Roman" w:hAnsi="Times New Roman"/>
          <w:b w:val="0"/>
          <w:i w:val="0"/>
          <w:sz w:val="20"/>
        </w:rPr>
        <w:t xml:space="preserve"> The cost of electricity </w:t>
      </w:r>
      <w:r w:rsidR="00567821">
        <w:rPr>
          <w:rFonts w:ascii="Times New Roman" w:hAnsi="Times New Roman"/>
          <w:b w:val="0"/>
          <w:i w:val="0"/>
          <w:sz w:val="20"/>
        </w:rPr>
        <w:t xml:space="preserve">is </w:t>
      </w:r>
      <w:r w:rsidR="00567821">
        <w:rPr>
          <w:rFonts w:ascii="Times New Roman" w:hAnsi="Times New Roman"/>
          <w:b w:val="0"/>
          <w:sz w:val="20"/>
        </w:rPr>
        <w:t>c</w:t>
      </w:r>
      <w:r w:rsidR="00567821">
        <w:rPr>
          <w:rFonts w:ascii="Times New Roman" w:hAnsi="Times New Roman"/>
          <w:b w:val="0"/>
          <w:i w:val="0"/>
          <w:sz w:val="20"/>
        </w:rPr>
        <w:t>,</w:t>
      </w:r>
      <w:r w:rsidRPr="00D2629B">
        <w:rPr>
          <w:rFonts w:ascii="Times New Roman" w:hAnsi="Times New Roman"/>
          <w:b w:val="0"/>
          <w:i w:val="0"/>
          <w:sz w:val="20"/>
        </w:rPr>
        <w:t xml:space="preserve"> so the profit from the sale of energy, as a function of customer consumption </w:t>
      </w:r>
      <w:r w:rsidR="00567821">
        <w:rPr>
          <w:rFonts w:ascii="Times New Roman" w:hAnsi="Times New Roman"/>
          <w:b w:val="0"/>
          <w:sz w:val="20"/>
        </w:rPr>
        <w:t>q</w:t>
      </w:r>
      <w:r w:rsidRPr="00D2629B">
        <w:rPr>
          <w:rFonts w:ascii="Times New Roman" w:hAnsi="Times New Roman"/>
          <w:b w:val="0"/>
          <w:i w:val="0"/>
          <w:sz w:val="20"/>
        </w:rPr>
        <w:t xml:space="preserve"> is </w:t>
      </w:r>
      <m:oMath>
        <m:d>
          <m:dPr>
            <m:ctrlPr>
              <w:rPr>
                <w:rFonts w:ascii="Cambria Math" w:hAnsi="Cambria Math"/>
                <w:b w:val="0"/>
                <w:sz w:val="20"/>
              </w:rPr>
            </m:ctrlPr>
          </m:dPr>
          <m:e>
            <m:r>
              <w:rPr>
                <w:rFonts w:ascii="Cambria Math" w:hAnsi="Cambria Math"/>
                <w:sz w:val="20"/>
              </w:rPr>
              <m:t>R-c</m:t>
            </m:r>
          </m:e>
        </m:d>
        <m:r>
          <w:rPr>
            <w:rFonts w:ascii="Cambria Math" w:hAnsi="Cambria Math"/>
            <w:sz w:val="20"/>
          </w:rPr>
          <m:t>q</m:t>
        </m:r>
      </m:oMath>
      <w:r w:rsidRPr="00D2629B">
        <w:rPr>
          <w:rFonts w:ascii="Times New Roman" w:hAnsi="Times New Roman"/>
          <w:b w:val="0"/>
          <w:i w:val="0"/>
          <w:sz w:val="20"/>
        </w:rPr>
        <w:t>. We can think of the LSE as a private firm with their own objectives, or as a decision maker acting on behalf of the group of customers it represents. Throughout, we will frequently refer to the LSE as the principal, and the consumer as the agent.  If the principal profits from the sale of electricity, or maximizes the social welfare of agents, then when</w:t>
      </w:r>
      <w:r w:rsidR="00567821">
        <w:rPr>
          <w:rFonts w:ascii="Times New Roman" w:hAnsi="Times New Roman"/>
          <w:b w:val="0"/>
          <w:i w:val="0"/>
          <w:sz w:val="20"/>
        </w:rPr>
        <w:t xml:space="preserve"> </w:t>
      </w:r>
      <m:oMath>
        <m:r>
          <w:rPr>
            <w:rFonts w:ascii="Cambria Math" w:hAnsi="Cambria Math"/>
            <w:sz w:val="20"/>
          </w:rPr>
          <m:t>c&gt;R</m:t>
        </m:r>
      </m:oMath>
      <w:r w:rsidRPr="00D2629B">
        <w:rPr>
          <w:rFonts w:ascii="Times New Roman" w:hAnsi="Times New Roman"/>
          <w:b w:val="0"/>
          <w:i w:val="0"/>
          <w:sz w:val="20"/>
        </w:rPr>
        <w:t xml:space="preserve"> the principal might prefer that consumers reduce their consumption. </w:t>
      </w:r>
    </w:p>
    <w:p w14:paraId="09F6C999" w14:textId="5E642943" w:rsidR="00D2629B" w:rsidRPr="00D2629B" w:rsidRDefault="00D2629B" w:rsidP="00D2629B">
      <w:pPr>
        <w:pStyle w:val="Heading2"/>
        <w:rPr>
          <w:rFonts w:ascii="Times New Roman" w:hAnsi="Times New Roman"/>
          <w:b w:val="0"/>
          <w:i w:val="0"/>
          <w:sz w:val="20"/>
        </w:rPr>
      </w:pPr>
      <w:r w:rsidRPr="00D2629B">
        <w:rPr>
          <w:rFonts w:ascii="Times New Roman" w:hAnsi="Times New Roman"/>
          <w:b w:val="0"/>
          <w:i w:val="0"/>
          <w:sz w:val="20"/>
        </w:rPr>
        <w:t xml:space="preserve">The principal has the option to offer a demand response incentive </w:t>
      </w:r>
      <m:oMath>
        <m:r>
          <w:rPr>
            <w:rFonts w:ascii="Cambria Math" w:hAnsi="Cambria Math"/>
            <w:sz w:val="20"/>
          </w:rPr>
          <m:t>f(q)</m:t>
        </m:r>
      </m:oMath>
      <w:r w:rsidRPr="00D2629B">
        <w:rPr>
          <w:rFonts w:ascii="Times New Roman" w:hAnsi="Times New Roman"/>
          <w:b w:val="0"/>
          <w:i w:val="0"/>
          <w:sz w:val="20"/>
        </w:rPr>
        <w:t xml:space="preserve"> in order to encourage consumers to reduce their demand, but for regulatory reasons and due to the existing contract with the consumer, </w:t>
      </w:r>
      <m:oMath>
        <m:r>
          <w:rPr>
            <w:rFonts w:ascii="Cambria Math" w:hAnsi="Cambria Math"/>
            <w:sz w:val="20"/>
          </w:rPr>
          <m:t>f</m:t>
        </m:r>
        <m:d>
          <m:dPr>
            <m:ctrlPr>
              <w:rPr>
                <w:rFonts w:ascii="Cambria Math" w:hAnsi="Cambria Math"/>
                <w:b w:val="0"/>
                <w:sz w:val="20"/>
              </w:rPr>
            </m:ctrlPr>
          </m:dPr>
          <m:e>
            <m:r>
              <w:rPr>
                <w:rFonts w:ascii="Cambria Math" w:hAnsi="Cambria Math"/>
                <w:sz w:val="20"/>
              </w:rPr>
              <m:t>q</m:t>
            </m:r>
          </m:e>
        </m:d>
        <m:r>
          <w:rPr>
            <w:rFonts w:ascii="Cambria Math" w:hAnsi="Cambria Math"/>
            <w:sz w:val="20"/>
          </w:rPr>
          <m:t xml:space="preserve"> ≥0</m:t>
        </m:r>
      </m:oMath>
      <w:r w:rsidRPr="00D2629B">
        <w:rPr>
          <w:rFonts w:ascii="Times New Roman" w:hAnsi="Times New Roman"/>
          <w:b w:val="0"/>
          <w:i w:val="0"/>
          <w:sz w:val="20"/>
        </w:rPr>
        <w:t xml:space="preserve">. The objective function for the consumer/agent is </w:t>
      </w:r>
      <m:oMath>
        <m:sSub>
          <m:sSubPr>
            <m:ctrlPr>
              <w:rPr>
                <w:rFonts w:ascii="Cambria Math" w:hAnsi="Cambria Math"/>
                <w:b w:val="0"/>
                <w:sz w:val="20"/>
              </w:rPr>
            </m:ctrlPr>
          </m:sSubPr>
          <m:e>
            <m:r>
              <w:rPr>
                <w:rFonts w:ascii="Cambria Math" w:hAnsi="Cambria Math"/>
                <w:sz w:val="20"/>
              </w:rPr>
              <m:t>U</m:t>
            </m:r>
          </m:e>
          <m:sub>
            <m:r>
              <w:rPr>
                <w:rFonts w:ascii="Cambria Math" w:hAnsi="Cambria Math"/>
                <w:sz w:val="20"/>
              </w:rPr>
              <m:t>θ</m:t>
            </m:r>
          </m:sub>
        </m:sSub>
        <m:d>
          <m:dPr>
            <m:ctrlPr>
              <w:rPr>
                <w:rFonts w:ascii="Cambria Math" w:hAnsi="Cambria Math"/>
                <w:b w:val="0"/>
                <w:sz w:val="20"/>
              </w:rPr>
            </m:ctrlPr>
          </m:dPr>
          <m:e>
            <m:r>
              <w:rPr>
                <w:rFonts w:ascii="Cambria Math" w:hAnsi="Cambria Math"/>
                <w:sz w:val="20"/>
              </w:rPr>
              <m:t>q</m:t>
            </m:r>
          </m:e>
        </m:d>
        <m:r>
          <w:rPr>
            <w:rFonts w:ascii="Cambria Math" w:hAnsi="Cambria Math"/>
            <w:sz w:val="20"/>
          </w:rPr>
          <m:t>-q R</m:t>
        </m:r>
      </m:oMath>
      <w:r w:rsidR="00567821">
        <w:rPr>
          <w:rFonts w:ascii="Times New Roman" w:hAnsi="Times New Roman"/>
          <w:b w:val="0"/>
          <w:i w:val="0"/>
          <w:sz w:val="20"/>
        </w:rPr>
        <w:t xml:space="preserve"> </w:t>
      </w:r>
      <w:r w:rsidRPr="00D2629B">
        <w:rPr>
          <w:rFonts w:ascii="Times New Roman" w:hAnsi="Times New Roman"/>
          <w:b w:val="0"/>
          <w:i w:val="0"/>
          <w:sz w:val="20"/>
        </w:rPr>
        <w:t xml:space="preserve">in the absence of a demand response program and </w:t>
      </w:r>
      <m:oMath>
        <m:sSub>
          <m:sSubPr>
            <m:ctrlPr>
              <w:rPr>
                <w:rFonts w:ascii="Cambria Math" w:hAnsi="Cambria Math"/>
                <w:b w:val="0"/>
                <w:sz w:val="20"/>
              </w:rPr>
            </m:ctrlPr>
          </m:sSubPr>
          <m:e>
            <m:r>
              <w:rPr>
                <w:rFonts w:ascii="Cambria Math" w:hAnsi="Cambria Math"/>
                <w:sz w:val="20"/>
              </w:rPr>
              <m:t>U</m:t>
            </m:r>
          </m:e>
          <m:sub>
            <m:r>
              <w:rPr>
                <w:rFonts w:ascii="Cambria Math" w:hAnsi="Cambria Math"/>
                <w:sz w:val="20"/>
              </w:rPr>
              <m:t>θ</m:t>
            </m:r>
          </m:sub>
        </m:sSub>
        <m:d>
          <m:dPr>
            <m:ctrlPr>
              <w:rPr>
                <w:rFonts w:ascii="Cambria Math" w:hAnsi="Cambria Math"/>
                <w:b w:val="0"/>
                <w:sz w:val="20"/>
              </w:rPr>
            </m:ctrlPr>
          </m:dPr>
          <m:e>
            <m:r>
              <w:rPr>
                <w:rFonts w:ascii="Cambria Math" w:hAnsi="Cambria Math"/>
                <w:sz w:val="20"/>
              </w:rPr>
              <m:t>q</m:t>
            </m:r>
          </m:e>
        </m:d>
        <m:r>
          <w:rPr>
            <w:rFonts w:ascii="Cambria Math" w:hAnsi="Cambria Math"/>
            <w:sz w:val="20"/>
          </w:rPr>
          <m:t>-q R</m:t>
        </m:r>
        <m:r>
          <w:rPr>
            <w:rFonts w:ascii="Cambria Math" w:hAnsi="Cambria Math"/>
            <w:sz w:val="20"/>
          </w:rPr>
          <m:t>+f(q)</m:t>
        </m:r>
      </m:oMath>
      <w:r w:rsidR="00567821" w:rsidRPr="00D2629B">
        <w:rPr>
          <w:rFonts w:ascii="Times New Roman" w:hAnsi="Times New Roman"/>
          <w:b w:val="0"/>
          <w:i w:val="0"/>
          <w:sz w:val="20"/>
        </w:rPr>
        <w:t xml:space="preserve"> </w:t>
      </w:r>
      <w:r w:rsidRPr="00D2629B">
        <w:rPr>
          <w:rFonts w:ascii="Times New Roman" w:hAnsi="Times New Roman"/>
          <w:b w:val="0"/>
          <w:i w:val="0"/>
          <w:sz w:val="20"/>
        </w:rPr>
        <w:t xml:space="preserve">in the presence of the demand response program. The agent chooses </w:t>
      </w:r>
      <m:oMath>
        <m:sSub>
          <m:sSubPr>
            <m:ctrlPr>
              <w:rPr>
                <w:rFonts w:ascii="Cambria Math" w:hAnsi="Cambria Math"/>
                <w:b w:val="0"/>
                <w:sz w:val="20"/>
              </w:rPr>
            </m:ctrlPr>
          </m:sSubPr>
          <m:e>
            <m:r>
              <w:rPr>
                <w:rFonts w:ascii="Cambria Math" w:hAnsi="Cambria Math"/>
                <w:sz w:val="20"/>
              </w:rPr>
              <m:t>q</m:t>
            </m:r>
          </m:e>
          <m:sub>
            <m:r>
              <w:rPr>
                <w:rFonts w:ascii="Cambria Math" w:hAnsi="Cambria Math"/>
                <w:sz w:val="20"/>
              </w:rPr>
              <m:t>θ</m:t>
            </m:r>
          </m:sub>
        </m:sSub>
        <m:r>
          <w:rPr>
            <w:rFonts w:ascii="Cambria Math" w:hAnsi="Cambria Math"/>
            <w:sz w:val="20"/>
          </w:rPr>
          <m:t>=</m:t>
        </m:r>
        <m:func>
          <m:funcPr>
            <m:ctrlPr>
              <w:rPr>
                <w:rFonts w:ascii="Cambria Math" w:hAnsi="Cambria Math"/>
                <w:b w:val="0"/>
                <w:sz w:val="20"/>
              </w:rPr>
            </m:ctrlPr>
          </m:funcPr>
          <m:fName>
            <m:r>
              <m:rPr>
                <m:sty m:val="p"/>
              </m:rPr>
              <w:rPr>
                <w:rFonts w:ascii="Cambria Math" w:hAnsi="Cambria Math"/>
                <w:sz w:val="20"/>
              </w:rPr>
              <m:t>arg</m:t>
            </m:r>
          </m:fName>
          <m:e>
            <m:func>
              <m:funcPr>
                <m:ctrlPr>
                  <w:rPr>
                    <w:rFonts w:ascii="Cambria Math" w:hAnsi="Cambria Math"/>
                    <w:b w:val="0"/>
                    <w:sz w:val="20"/>
                  </w:rPr>
                </m:ctrlPr>
              </m:funcPr>
              <m:fName>
                <m:r>
                  <m:rPr>
                    <m:sty m:val="p"/>
                  </m:rPr>
                  <w:rPr>
                    <w:rFonts w:ascii="Cambria Math" w:hAnsi="Cambria Math"/>
                    <w:sz w:val="20"/>
                  </w:rPr>
                  <m:t>max</m:t>
                </m:r>
              </m:fName>
              <m:e>
                <m:sSub>
                  <m:sSubPr>
                    <m:ctrlPr>
                      <w:rPr>
                        <w:rFonts w:ascii="Cambria Math" w:hAnsi="Cambria Math"/>
                        <w:b w:val="0"/>
                        <w:sz w:val="20"/>
                      </w:rPr>
                    </m:ctrlPr>
                  </m:sSubPr>
                  <m:e>
                    <m:r>
                      <w:rPr>
                        <w:rFonts w:ascii="Cambria Math" w:hAnsi="Cambria Math"/>
                        <w:sz w:val="20"/>
                      </w:rPr>
                      <m:t>U</m:t>
                    </m:r>
                  </m:e>
                  <m:sub>
                    <m:r>
                      <w:rPr>
                        <w:rFonts w:ascii="Cambria Math" w:hAnsi="Cambria Math"/>
                        <w:sz w:val="20"/>
                      </w:rPr>
                      <m:t>θ</m:t>
                    </m:r>
                  </m:sub>
                </m:sSub>
                <m:d>
                  <m:dPr>
                    <m:ctrlPr>
                      <w:rPr>
                        <w:rFonts w:ascii="Cambria Math" w:hAnsi="Cambria Math"/>
                        <w:b w:val="0"/>
                        <w:sz w:val="20"/>
                      </w:rPr>
                    </m:ctrlPr>
                  </m:dPr>
                  <m:e>
                    <m:r>
                      <w:rPr>
                        <w:rFonts w:ascii="Cambria Math" w:hAnsi="Cambria Math"/>
                        <w:sz w:val="20"/>
                      </w:rPr>
                      <m:t>q</m:t>
                    </m:r>
                  </m:e>
                </m:d>
                <m:r>
                  <w:rPr>
                    <w:rFonts w:ascii="Cambria Math" w:hAnsi="Cambria Math"/>
                    <w:sz w:val="20"/>
                  </w:rPr>
                  <m:t>-qR</m:t>
                </m:r>
              </m:e>
            </m:func>
          </m:e>
        </m:func>
        <m:r>
          <w:rPr>
            <w:rFonts w:ascii="Cambria Math" w:hAnsi="Cambria Math"/>
            <w:sz w:val="20"/>
          </w:rPr>
          <m:t>+f(q)</m:t>
        </m:r>
      </m:oMath>
      <w:r w:rsidR="00567821">
        <w:rPr>
          <w:rFonts w:ascii="Times New Roman" w:hAnsi="Times New Roman"/>
          <w:b w:val="0"/>
          <w:i w:val="0"/>
          <w:sz w:val="20"/>
        </w:rPr>
        <w:t>.</w:t>
      </w:r>
      <w:r w:rsidRPr="00D2629B">
        <w:rPr>
          <w:rFonts w:ascii="Times New Roman" w:hAnsi="Times New Roman"/>
          <w:b w:val="0"/>
          <w:i w:val="0"/>
          <w:sz w:val="20"/>
        </w:rPr>
        <w:t xml:space="preserve"> </w:t>
      </w:r>
    </w:p>
    <w:p w14:paraId="3E2ED230" w14:textId="31959938" w:rsidR="00D2629B" w:rsidRPr="00D2629B" w:rsidRDefault="00D2629B" w:rsidP="00D2629B">
      <w:pPr>
        <w:pStyle w:val="Heading2"/>
        <w:rPr>
          <w:rFonts w:ascii="Times New Roman" w:hAnsi="Times New Roman"/>
          <w:b w:val="0"/>
          <w:i w:val="0"/>
          <w:sz w:val="20"/>
        </w:rPr>
      </w:pPr>
      <w:r w:rsidRPr="00D2629B">
        <w:rPr>
          <w:rFonts w:ascii="Times New Roman" w:hAnsi="Times New Roman"/>
          <w:b w:val="0"/>
          <w:i w:val="0"/>
          <w:sz w:val="20"/>
        </w:rPr>
        <w:t xml:space="preserve">The principal chooses </w:t>
      </w:r>
      <m:oMath>
        <m:r>
          <w:rPr>
            <w:rFonts w:ascii="Cambria Math" w:hAnsi="Cambria Math"/>
            <w:sz w:val="20"/>
          </w:rPr>
          <m:t>f</m:t>
        </m:r>
        <m:d>
          <m:dPr>
            <m:ctrlPr>
              <w:rPr>
                <w:rFonts w:ascii="Cambria Math" w:hAnsi="Cambria Math"/>
                <w:b w:val="0"/>
                <w:sz w:val="20"/>
              </w:rPr>
            </m:ctrlPr>
          </m:dPr>
          <m:e>
            <m:r>
              <w:rPr>
                <w:rFonts w:ascii="Cambria Math" w:hAnsi="Cambria Math"/>
                <w:sz w:val="20"/>
              </w:rPr>
              <m:t>q</m:t>
            </m:r>
          </m:e>
        </m:d>
      </m:oMath>
      <w:r w:rsidR="00567821">
        <w:rPr>
          <w:rFonts w:ascii="Times New Roman" w:hAnsi="Times New Roman"/>
          <w:b w:val="0"/>
          <w:i w:val="0"/>
          <w:sz w:val="20"/>
        </w:rPr>
        <w:t xml:space="preserve"> </w:t>
      </w:r>
      <w:r w:rsidRPr="00D2629B">
        <w:rPr>
          <w:rFonts w:ascii="Times New Roman" w:hAnsi="Times New Roman"/>
          <w:b w:val="0"/>
          <w:i w:val="0"/>
          <w:sz w:val="20"/>
        </w:rPr>
        <w:t xml:space="preserve">to optimize their own objective function; they don't know the consumer's type </w:t>
      </w:r>
      <m:oMath>
        <m:r>
          <w:rPr>
            <w:rFonts w:ascii="Cambria Math" w:hAnsi="Cambria Math"/>
            <w:sz w:val="20"/>
          </w:rPr>
          <m:t>θ</m:t>
        </m:r>
      </m:oMath>
      <w:r w:rsidR="00567821">
        <w:rPr>
          <w:rFonts w:ascii="Times New Roman" w:hAnsi="Times New Roman"/>
          <w:b w:val="0"/>
          <w:i w:val="0"/>
          <w:sz w:val="20"/>
        </w:rPr>
        <w:t>,</w:t>
      </w:r>
      <w:r w:rsidR="00567821" w:rsidRPr="00D2629B">
        <w:rPr>
          <w:rFonts w:ascii="Times New Roman" w:hAnsi="Times New Roman"/>
          <w:b w:val="0"/>
          <w:i w:val="0"/>
          <w:sz w:val="20"/>
        </w:rPr>
        <w:t xml:space="preserve"> </w:t>
      </w:r>
      <w:r w:rsidRPr="00D2629B">
        <w:rPr>
          <w:rFonts w:ascii="Times New Roman" w:hAnsi="Times New Roman"/>
          <w:b w:val="0"/>
          <w:i w:val="0"/>
          <w:sz w:val="20"/>
        </w:rPr>
        <w:t>which is private information, but they have a probability distribution</w:t>
      </w:r>
      <w:r w:rsidR="00567821">
        <w:rPr>
          <w:rFonts w:ascii="Times New Roman" w:hAnsi="Times New Roman"/>
          <w:b w:val="0"/>
          <w:i w:val="0"/>
          <w:sz w:val="20"/>
        </w:rPr>
        <w:t xml:space="preserve"> </w:t>
      </w:r>
      <m:oMath>
        <m:r>
          <m:rPr>
            <m:scr m:val="double-struck"/>
          </m:rPr>
          <w:rPr>
            <w:rFonts w:ascii="Cambria Math" w:hAnsi="Cambria Math"/>
            <w:sz w:val="20"/>
          </w:rPr>
          <m:t>P</m:t>
        </m:r>
        <m:r>
          <w:rPr>
            <w:rFonts w:ascii="Cambria Math" w:hAnsi="Cambria Math"/>
            <w:sz w:val="20"/>
          </w:rPr>
          <m:t>(</m:t>
        </m:r>
        <m:r>
          <w:rPr>
            <w:rFonts w:ascii="Cambria Math" w:hAnsi="Cambria Math"/>
            <w:sz w:val="20"/>
          </w:rPr>
          <m:t>θ</m:t>
        </m:r>
        <m:r>
          <w:rPr>
            <w:rFonts w:ascii="Cambria Math" w:hAnsi="Cambria Math"/>
            <w:sz w:val="20"/>
          </w:rPr>
          <m:t>)</m:t>
        </m:r>
      </m:oMath>
      <w:r w:rsidR="00567821" w:rsidRPr="00D2629B">
        <w:rPr>
          <w:rFonts w:ascii="Times New Roman" w:hAnsi="Times New Roman"/>
          <w:b w:val="0"/>
          <w:i w:val="0"/>
          <w:sz w:val="20"/>
        </w:rPr>
        <w:t xml:space="preserve"> </w:t>
      </w:r>
      <w:r w:rsidRPr="00D2629B">
        <w:rPr>
          <w:rFonts w:ascii="Times New Roman" w:hAnsi="Times New Roman"/>
          <w:b w:val="0"/>
          <w:i w:val="0"/>
          <w:sz w:val="20"/>
        </w:rPr>
        <w:t>over the possible types. The principal's objective could be, for instance,</w:t>
      </w:r>
      <w:r w:rsidR="00567821" w:rsidRPr="00567821">
        <w:rPr>
          <w:rFonts w:ascii="Times New Roman" w:hAnsi="Times New Roman"/>
          <w:b w:val="0"/>
          <w:i w:val="0"/>
          <w:sz w:val="20"/>
        </w:rPr>
        <w:t xml:space="preserve"> </w:t>
      </w:r>
      <w:r w:rsidR="00567821">
        <w:rPr>
          <w:rFonts w:ascii="Times New Roman" w:hAnsi="Times New Roman"/>
          <w:b w:val="0"/>
          <w:i w:val="0"/>
          <w:sz w:val="20"/>
        </w:rPr>
        <w:t>to maximize social welfare</w:t>
      </w:r>
      <w:r w:rsidR="00567821">
        <w:rPr>
          <w:rFonts w:ascii="Times New Roman" w:hAnsi="Times New Roman"/>
          <w:b w:val="0"/>
          <w:i w:val="0"/>
          <w:sz w:val="20"/>
        </w:rPr>
        <w:t xml:space="preserve"> or to minimize their total costs for energy procurement; we focus, first, on the former. </w:t>
      </w:r>
      <w:r w:rsidRPr="00D2629B">
        <w:rPr>
          <w:rFonts w:ascii="Times New Roman" w:hAnsi="Times New Roman"/>
          <w:b w:val="0"/>
          <w:i w:val="0"/>
          <w:sz w:val="20"/>
        </w:rPr>
        <w:t xml:space="preserve"> </w:t>
      </w:r>
    </w:p>
    <w:p w14:paraId="7C01D996" w14:textId="5EFEDC87" w:rsidR="00DC69F1" w:rsidRPr="003205A8" w:rsidRDefault="00D2629B" w:rsidP="00D2629B">
      <w:pPr>
        <w:pStyle w:val="Heading2"/>
        <w:rPr>
          <w:rFonts w:ascii="Times New Roman" w:hAnsi="Times New Roman"/>
          <w:b w:val="0"/>
          <w:i w:val="0"/>
          <w:sz w:val="20"/>
        </w:rPr>
      </w:pPr>
      <w:r w:rsidRPr="00D2629B">
        <w:rPr>
          <w:rFonts w:ascii="Times New Roman" w:hAnsi="Times New Roman"/>
          <w:b w:val="0"/>
          <w:i w:val="0"/>
          <w:sz w:val="20"/>
        </w:rPr>
        <w:t>Demand response programs impute a baseline</w:t>
      </w:r>
      <w:r w:rsidR="00567821">
        <w:rPr>
          <w:rFonts w:ascii="Times New Roman" w:hAnsi="Times New Roman"/>
          <w:b w:val="0"/>
          <w:i w:val="0"/>
          <w:sz w:val="20"/>
        </w:rPr>
        <w:t xml:space="preserve"> </w:t>
      </w:r>
      <m:oMath>
        <m:r>
          <w:rPr>
            <w:rFonts w:ascii="Cambria Math" w:hAnsi="Cambria Math"/>
            <w:sz w:val="20"/>
          </w:rPr>
          <m:t>β</m:t>
        </m:r>
      </m:oMath>
      <w:r w:rsidRPr="00D2629B">
        <w:rPr>
          <w:rFonts w:ascii="Times New Roman" w:hAnsi="Times New Roman"/>
          <w:b w:val="0"/>
          <w:i w:val="0"/>
          <w:sz w:val="20"/>
        </w:rPr>
        <w:t xml:space="preserve">, which is typically intended to measure how much electricity a consumer would have used in the absence of the program, i.e. </w:t>
      </w:r>
      <m:oMath>
        <m:r>
          <w:rPr>
            <w:rFonts w:ascii="Cambria Math" w:hAnsi="Cambria Math"/>
            <w:sz w:val="20"/>
          </w:rPr>
          <m:t>β</m:t>
        </m:r>
        <m:r>
          <m:rPr>
            <m:scr m:val="double-struck"/>
          </m:rPr>
          <w:rPr>
            <w:rFonts w:ascii="Cambria Math" w:hAnsi="Cambria Math"/>
            <w:sz w:val="20"/>
          </w:rPr>
          <m:t>=E[</m:t>
        </m:r>
        <m:sSub>
          <m:sSubPr>
            <m:ctrlPr>
              <w:rPr>
                <w:rFonts w:ascii="Cambria Math" w:hAnsi="Cambria Math"/>
                <w:b w:val="0"/>
                <w:sz w:val="20"/>
              </w:rPr>
            </m:ctrlPr>
          </m:sSubPr>
          <m:e>
            <m:r>
              <w:rPr>
                <w:rFonts w:ascii="Cambria Math" w:hAnsi="Cambria Math"/>
                <w:sz w:val="20"/>
              </w:rPr>
              <m:t>q</m:t>
            </m:r>
          </m:e>
          <m:sub>
            <m:r>
              <w:rPr>
                <w:rFonts w:ascii="Cambria Math" w:hAnsi="Cambria Math"/>
                <w:sz w:val="20"/>
              </w:rPr>
              <m:t>θ</m:t>
            </m:r>
          </m:sub>
        </m:sSub>
        <m:r>
          <w:rPr>
            <w:rFonts w:ascii="Cambria Math" w:hAnsi="Cambria Math"/>
            <w:sz w:val="20"/>
          </w:rPr>
          <m:t>]</m:t>
        </m:r>
      </m:oMath>
      <w:r w:rsidR="00567821">
        <w:rPr>
          <w:rFonts w:ascii="Times New Roman" w:hAnsi="Times New Roman"/>
          <w:b w:val="0"/>
          <w:i w:val="0"/>
          <w:sz w:val="20"/>
        </w:rPr>
        <w:t xml:space="preserve"> </w:t>
      </w:r>
      <w:r w:rsidR="003205A8">
        <w:rPr>
          <w:rFonts w:ascii="Times New Roman" w:hAnsi="Times New Roman"/>
          <w:b w:val="0"/>
          <w:i w:val="0"/>
          <w:sz w:val="20"/>
        </w:rPr>
        <w:t xml:space="preserve">when </w:t>
      </w:r>
      <m:oMath>
        <m:r>
          <w:rPr>
            <w:rFonts w:ascii="Cambria Math" w:hAnsi="Cambria Math"/>
            <w:sz w:val="20"/>
          </w:rPr>
          <m:t>f</m:t>
        </m:r>
        <m:d>
          <m:dPr>
            <m:ctrlPr>
              <w:rPr>
                <w:rFonts w:ascii="Cambria Math" w:hAnsi="Cambria Math"/>
                <w:b w:val="0"/>
                <w:sz w:val="20"/>
              </w:rPr>
            </m:ctrlPr>
          </m:dPr>
          <m:e>
            <m:r>
              <w:rPr>
                <w:rFonts w:ascii="Cambria Math" w:hAnsi="Cambria Math"/>
                <w:sz w:val="20"/>
              </w:rPr>
              <m:t>q</m:t>
            </m:r>
          </m:e>
        </m:d>
        <m:r>
          <w:rPr>
            <w:rFonts w:ascii="Cambria Math" w:hAnsi="Cambria Math"/>
            <w:sz w:val="20"/>
          </w:rPr>
          <m:t>=0</m:t>
        </m:r>
      </m:oMath>
      <w:r w:rsidR="003205A8">
        <w:rPr>
          <w:rFonts w:ascii="Times New Roman" w:hAnsi="Times New Roman"/>
          <w:b w:val="0"/>
          <w:i w:val="0"/>
          <w:sz w:val="20"/>
        </w:rPr>
        <w:t xml:space="preserve">. </w:t>
      </w:r>
      <w:r w:rsidRPr="00D2629B">
        <w:rPr>
          <w:rFonts w:ascii="Times New Roman" w:hAnsi="Times New Roman"/>
          <w:b w:val="0"/>
          <w:i w:val="0"/>
          <w:sz w:val="20"/>
        </w:rPr>
        <w:t xml:space="preserve">We take a slightly different approach and define </w:t>
      </w:r>
      <w:r w:rsidR="00CA4EA7">
        <w:rPr>
          <w:rFonts w:ascii="Times New Roman" w:hAnsi="Times New Roman"/>
          <w:b w:val="0"/>
          <w:i w:val="0"/>
          <w:sz w:val="20"/>
        </w:rPr>
        <w:t>focus on the threshold</w:t>
      </w:r>
      <w:r w:rsidRPr="00D2629B">
        <w:rPr>
          <w:rFonts w:ascii="Times New Roman" w:hAnsi="Times New Roman"/>
          <w:b w:val="0"/>
          <w:i w:val="0"/>
          <w:sz w:val="20"/>
        </w:rPr>
        <w:t xml:space="preserve"> </w:t>
      </w:r>
      <m:oMath>
        <m:r>
          <w:rPr>
            <w:rFonts w:ascii="Cambria Math" w:hAnsi="Cambria Math"/>
            <w:sz w:val="20"/>
          </w:rPr>
          <m:t>γ</m:t>
        </m:r>
      </m:oMath>
      <w:r w:rsidRPr="00D2629B">
        <w:rPr>
          <w:rFonts w:ascii="Times New Roman" w:hAnsi="Times New Roman"/>
          <w:b w:val="0"/>
          <w:i w:val="0"/>
          <w:sz w:val="20"/>
        </w:rPr>
        <w:t xml:space="preserve"> </w:t>
      </w:r>
      <w:r w:rsidR="00CA4EA7">
        <w:rPr>
          <w:rFonts w:ascii="Times New Roman" w:hAnsi="Times New Roman"/>
          <w:b w:val="0"/>
          <w:i w:val="0"/>
          <w:sz w:val="20"/>
        </w:rPr>
        <w:t>that describes the point below which the customer beings earning money in the demand response program</w:t>
      </w:r>
      <w:r w:rsidRPr="00D2629B">
        <w:rPr>
          <w:rFonts w:ascii="Times New Roman" w:hAnsi="Times New Roman"/>
          <w:b w:val="0"/>
          <w:i w:val="0"/>
          <w:sz w:val="20"/>
        </w:rPr>
        <w:t xml:space="preserve">: </w:t>
      </w:r>
      <m:oMath>
        <m:r>
          <w:rPr>
            <w:rFonts w:ascii="Cambria Math" w:hAnsi="Cambria Math"/>
            <w:sz w:val="20"/>
          </w:rPr>
          <m:t>γ</m:t>
        </m:r>
        <m:r>
          <w:rPr>
            <w:rFonts w:ascii="Cambria Math" w:hAnsi="Cambria Math"/>
            <w:sz w:val="20"/>
          </w:rPr>
          <m:t>=</m:t>
        </m:r>
        <m:func>
          <m:funcPr>
            <m:ctrlPr>
              <w:rPr>
                <w:rFonts w:ascii="Cambria Math" w:hAnsi="Cambria Math"/>
                <w:b w:val="0"/>
                <w:sz w:val="20"/>
              </w:rPr>
            </m:ctrlPr>
          </m:funcPr>
          <m:fName>
            <m:r>
              <m:rPr>
                <m:sty m:val="p"/>
              </m:rPr>
              <w:rPr>
                <w:rFonts w:ascii="Cambria Math" w:hAnsi="Cambria Math"/>
                <w:sz w:val="20"/>
              </w:rPr>
              <m:t>arg</m:t>
            </m:r>
          </m:fName>
          <m:e>
            <m:func>
              <m:funcPr>
                <m:ctrlPr>
                  <w:rPr>
                    <w:rFonts w:ascii="Cambria Math" w:hAnsi="Cambria Math"/>
                    <w:b w:val="0"/>
                    <w:sz w:val="20"/>
                  </w:rPr>
                </m:ctrlPr>
              </m:funcPr>
              <m:fName>
                <m:r>
                  <m:rPr>
                    <m:sty m:val="p"/>
                  </m:rPr>
                  <w:rPr>
                    <w:rFonts w:ascii="Cambria Math" w:hAnsi="Cambria Math"/>
                    <w:sz w:val="20"/>
                  </w:rPr>
                  <m:t xml:space="preserve">sup </m:t>
                </m:r>
              </m:fName>
              <m:e>
                <m:r>
                  <w:rPr>
                    <w:rFonts w:ascii="Cambria Math" w:hAnsi="Cambria Math"/>
                    <w:sz w:val="20"/>
                  </w:rPr>
                  <m:t>{q</m:t>
                </m:r>
              </m:e>
            </m:func>
          </m:e>
        </m:func>
        <m:r>
          <w:rPr>
            <w:rFonts w:ascii="Cambria Math" w:hAnsi="Cambria Math"/>
            <w:sz w:val="20"/>
          </w:rPr>
          <m:t>| f</m:t>
        </m:r>
        <m:d>
          <m:dPr>
            <m:ctrlPr>
              <w:rPr>
                <w:rFonts w:ascii="Cambria Math" w:hAnsi="Cambria Math"/>
                <w:b w:val="0"/>
                <w:sz w:val="20"/>
              </w:rPr>
            </m:ctrlPr>
          </m:dPr>
          <m:e>
            <m:r>
              <w:rPr>
                <w:rFonts w:ascii="Cambria Math" w:hAnsi="Cambria Math"/>
                <w:sz w:val="20"/>
              </w:rPr>
              <m:t>q</m:t>
            </m:r>
          </m:e>
        </m:d>
        <m:r>
          <w:rPr>
            <w:rFonts w:ascii="Cambria Math" w:hAnsi="Cambria Math"/>
            <w:sz w:val="20"/>
          </w:rPr>
          <m:t>=0}</m:t>
        </m:r>
      </m:oMath>
      <w:r w:rsidR="00CA4EA7">
        <w:rPr>
          <w:rFonts w:ascii="Times New Roman" w:hAnsi="Times New Roman"/>
          <w:b w:val="0"/>
          <w:i w:val="0"/>
          <w:sz w:val="20"/>
        </w:rPr>
        <w:t>.</w:t>
      </w:r>
      <w:r w:rsidR="003205A8" w:rsidRPr="00D2629B">
        <w:rPr>
          <w:rFonts w:ascii="Times New Roman" w:hAnsi="Times New Roman"/>
          <w:b w:val="0"/>
          <w:i w:val="0"/>
          <w:sz w:val="20"/>
        </w:rPr>
        <w:t xml:space="preserve"> </w:t>
      </w:r>
      <w:r w:rsidRPr="00D2629B">
        <w:rPr>
          <w:rFonts w:ascii="Times New Roman" w:hAnsi="Times New Roman"/>
          <w:b w:val="0"/>
          <w:i w:val="0"/>
          <w:sz w:val="20"/>
        </w:rPr>
        <w:t xml:space="preserve">This definition is helpful because the functional importance of the </w:t>
      </w:r>
      <w:r w:rsidR="00CA4EA7">
        <w:rPr>
          <w:rFonts w:ascii="Times New Roman" w:hAnsi="Times New Roman"/>
          <w:b w:val="0"/>
          <w:i w:val="0"/>
          <w:sz w:val="20"/>
        </w:rPr>
        <w:t>threshold</w:t>
      </w:r>
      <w:r w:rsidRPr="00D2629B">
        <w:rPr>
          <w:rFonts w:ascii="Times New Roman" w:hAnsi="Times New Roman"/>
          <w:b w:val="0"/>
          <w:i w:val="0"/>
          <w:sz w:val="20"/>
        </w:rPr>
        <w:t xml:space="preserve"> is that it describes the point at which the demand response payment hits 0. It </w:t>
      </w:r>
      <w:r w:rsidRPr="00D2629B">
        <w:rPr>
          <w:rFonts w:ascii="Times New Roman" w:hAnsi="Times New Roman"/>
          <w:b w:val="0"/>
          <w:i w:val="0"/>
          <w:sz w:val="20"/>
        </w:rPr>
        <w:lastRenderedPageBreak/>
        <w:t xml:space="preserve">captures the core </w:t>
      </w:r>
      <w:r w:rsidR="00CA4EA7">
        <w:rPr>
          <w:rFonts w:ascii="Times New Roman" w:hAnsi="Times New Roman"/>
          <w:b w:val="0"/>
          <w:i w:val="0"/>
          <w:sz w:val="20"/>
        </w:rPr>
        <w:t>use case of threshold</w:t>
      </w:r>
      <w:r w:rsidRPr="00D2629B">
        <w:rPr>
          <w:rFonts w:ascii="Times New Roman" w:hAnsi="Times New Roman"/>
          <w:b w:val="0"/>
          <w:i w:val="0"/>
          <w:sz w:val="20"/>
        </w:rPr>
        <w:t xml:space="preserve">, which is that it describes the intercept for the demand response incentive function. </w:t>
      </w:r>
      <w:r w:rsidR="00CA4EA7">
        <w:rPr>
          <w:rFonts w:ascii="Times New Roman" w:hAnsi="Times New Roman"/>
          <w:b w:val="0"/>
          <w:i w:val="0"/>
          <w:sz w:val="20"/>
        </w:rPr>
        <w:t xml:space="preserve">In many existing programs, the term baseline is used interchangeably with the demand response threshold, and the threshold </w:t>
      </w:r>
      <m:oMath>
        <m:r>
          <w:rPr>
            <w:rFonts w:ascii="Cambria Math" w:hAnsi="Cambria Math"/>
            <w:sz w:val="20"/>
          </w:rPr>
          <m:t>γ</m:t>
        </m:r>
      </m:oMath>
      <w:r w:rsidR="00CA4EA7">
        <w:rPr>
          <w:rFonts w:ascii="Times New Roman" w:hAnsi="Times New Roman"/>
          <w:b w:val="0"/>
          <w:i w:val="0"/>
          <w:sz w:val="20"/>
        </w:rPr>
        <w:t xml:space="preserve"> is set to </w:t>
      </w:r>
      <m:oMath>
        <m:r>
          <w:rPr>
            <w:rFonts w:ascii="Cambria Math" w:hAnsi="Cambria Math"/>
            <w:sz w:val="20"/>
          </w:rPr>
          <m:t>β</m:t>
        </m:r>
      </m:oMath>
      <w:r w:rsidR="00CA4EA7">
        <w:rPr>
          <w:rFonts w:ascii="Times New Roman" w:hAnsi="Times New Roman"/>
          <w:b w:val="0"/>
          <w:i w:val="0"/>
          <w:sz w:val="20"/>
        </w:rPr>
        <w:t xml:space="preserve">. </w:t>
      </w:r>
    </w:p>
    <w:p w14:paraId="6E055C21" w14:textId="77777777" w:rsidR="00DC69F1" w:rsidRPr="00D767DA" w:rsidRDefault="00DC69F1" w:rsidP="00DC69F1">
      <w:pPr>
        <w:pStyle w:val="Heading2"/>
        <w:rPr>
          <w:i w:val="0"/>
          <w:sz w:val="24"/>
          <w:szCs w:val="24"/>
        </w:rPr>
      </w:pPr>
      <w:r w:rsidRPr="00D767DA">
        <w:rPr>
          <w:i w:val="0"/>
          <w:sz w:val="24"/>
          <w:szCs w:val="24"/>
        </w:rPr>
        <w:t>Results</w:t>
      </w:r>
    </w:p>
    <w:p w14:paraId="5C7E656A" w14:textId="354A02E3" w:rsidR="00961948" w:rsidRDefault="00961948" w:rsidP="00DC69F1">
      <w:pPr>
        <w:pStyle w:val="BodyText2"/>
        <w:spacing w:after="200"/>
      </w:pPr>
      <w:r>
        <w:t xml:space="preserve">We derive results that explain consumption by the agents (consumers) in the presence or absence of demand response programs. Then, we incorporate this result endogenously to determine the optimal demand response offering strategy by the principal (LSE, utility, or aggregator). We determine conditions for an optimal piecewise linear demand response incentive, where, as in most existing programs, the LSE pays consumers a fixed rate per unit of demand reduction below a defined threshold. </w:t>
      </w:r>
    </w:p>
    <w:p w14:paraId="735D8F03" w14:textId="261DF6C9" w:rsidR="00961948" w:rsidRDefault="00961948" w:rsidP="00DC69F1">
      <w:pPr>
        <w:pStyle w:val="BodyText2"/>
        <w:spacing w:after="200"/>
      </w:pPr>
      <w:r>
        <w:t>We establish that this threshold should not, in general, be equal to the expected value of the consumption in the absence of the demand response program</w:t>
      </w:r>
      <w:r w:rsidR="00CA4EA7">
        <w:t xml:space="preserve">. That is, in general </w:t>
      </w:r>
      <m:oMath>
        <m:r>
          <m:rPr>
            <m:sty m:val="bi"/>
          </m:rPr>
          <w:rPr>
            <w:rFonts w:ascii="Cambria Math" w:hAnsi="Cambria Math"/>
          </w:rPr>
          <m:t>γ</m:t>
        </m:r>
        <m:r>
          <m:rPr>
            <m:sty m:val="b"/>
          </m:rPr>
          <w:rPr>
            <w:rFonts w:ascii="Cambria Math" w:hAnsi="Cambria Math"/>
          </w:rPr>
          <m:t xml:space="preserve"> ≠</m:t>
        </m:r>
      </m:oMath>
      <w:r w:rsidR="00CA4EA7">
        <w:rPr>
          <w:b/>
        </w:rPr>
        <w:t xml:space="preserve"> </w:t>
      </w:r>
      <m:oMath>
        <m:r>
          <m:rPr>
            <m:sty m:val="bi"/>
          </m:rPr>
          <w:rPr>
            <w:rFonts w:ascii="Cambria Math" w:hAnsi="Cambria Math"/>
          </w:rPr>
          <m:t>β</m:t>
        </m:r>
      </m:oMath>
      <w:r w:rsidR="00CA4EA7">
        <w:t xml:space="preserve">. We explain the result and offer extensions. </w:t>
      </w:r>
    </w:p>
    <w:p w14:paraId="1550136E" w14:textId="34F859B9" w:rsidR="00DC69F1" w:rsidRPr="00CA4EA7" w:rsidRDefault="00CA4EA7" w:rsidP="00CA4EA7">
      <w:pPr>
        <w:pStyle w:val="BodyText2"/>
        <w:spacing w:after="200"/>
      </w:pPr>
      <w:r>
        <w:t xml:space="preserve">Furthermore, we extend the results to model welfare in existing demand response programs with incomplete information. We extend Hung-Po Chao’s (2010) model to incorporate incomplete information and find that incomplete information substantially </w:t>
      </w:r>
      <w:proofErr w:type="spellStart"/>
      <w:r>
        <w:t>degrages</w:t>
      </w:r>
      <w:proofErr w:type="spellEnd"/>
      <w:r>
        <w:t xml:space="preserve"> the value of a demand response program. </w:t>
      </w:r>
    </w:p>
    <w:p w14:paraId="3C06257F" w14:textId="77777777" w:rsidR="00DC69F1" w:rsidRPr="00D767DA" w:rsidRDefault="00DC69F1">
      <w:pPr>
        <w:pStyle w:val="Heading2"/>
        <w:jc w:val="both"/>
        <w:rPr>
          <w:i w:val="0"/>
          <w:sz w:val="24"/>
          <w:szCs w:val="24"/>
        </w:rPr>
      </w:pPr>
      <w:r w:rsidRPr="00D767DA">
        <w:rPr>
          <w:i w:val="0"/>
          <w:sz w:val="24"/>
          <w:szCs w:val="24"/>
        </w:rPr>
        <w:t>Conclusions</w:t>
      </w:r>
    </w:p>
    <w:p w14:paraId="52D95E5D" w14:textId="4FE7600B" w:rsidR="00DC69F1" w:rsidRPr="00D767DA" w:rsidRDefault="00CA4EA7" w:rsidP="00DC69F1">
      <w:pPr>
        <w:pStyle w:val="BodyText2"/>
        <w:spacing w:after="200"/>
        <w:rPr>
          <w:i/>
        </w:rPr>
      </w:pPr>
      <w:r>
        <w:t xml:space="preserve">The existing paradigm for demand response programs, in the presence of incomplete information, typically sets an incentive threshold at the consumer baseline. These programs estimate the consumer baseline as the extent of energy consumed in the absence of the demand response program, and </w:t>
      </w:r>
      <w:r w:rsidR="003524E1">
        <w:t xml:space="preserve">they </w:t>
      </w:r>
      <w:r>
        <w:t xml:space="preserve">pay consumers for reductions below that baseline. We argue that this is not socially optimal, even without considering the potential for moral hazard. We </w:t>
      </w:r>
      <w:r w:rsidR="003524E1">
        <w:t>present</w:t>
      </w:r>
      <w:r>
        <w:t xml:space="preserve"> alternatives </w:t>
      </w:r>
      <w:r w:rsidR="003524E1">
        <w:t xml:space="preserve">to </w:t>
      </w:r>
      <w:r>
        <w:t xml:space="preserve">improve social welfare, using tools from microeconomics and contract theory. We also suggest additional methods for a more general class of </w:t>
      </w:r>
      <w:r w:rsidR="003524E1">
        <w:t>demand response incentive designs, and we discuss methods for reducing moral hazard</w:t>
      </w:r>
      <w:r>
        <w:t xml:space="preserve">. In an example, we quantify the cost of incomplete information based on demand response programs under current practice. </w:t>
      </w:r>
    </w:p>
    <w:p w14:paraId="7805FED5" w14:textId="77777777" w:rsidR="00DC69F1" w:rsidRPr="00A247C7" w:rsidRDefault="00DC69F1">
      <w:pPr>
        <w:pStyle w:val="Heading2"/>
        <w:rPr>
          <w:rFonts w:ascii="Times New Roman" w:hAnsi="Times New Roman"/>
          <w:i w:val="0"/>
          <w:sz w:val="20"/>
        </w:rPr>
      </w:pPr>
    </w:p>
    <w:p w14:paraId="190E248C" w14:textId="77777777" w:rsidR="00DC69F1" w:rsidRPr="00D767DA" w:rsidRDefault="00DC69F1">
      <w:pPr>
        <w:pStyle w:val="Heading2"/>
        <w:rPr>
          <w:i w:val="0"/>
          <w:sz w:val="24"/>
          <w:szCs w:val="24"/>
        </w:rPr>
      </w:pPr>
      <w:r w:rsidRPr="00D767DA">
        <w:rPr>
          <w:i w:val="0"/>
          <w:sz w:val="24"/>
          <w:szCs w:val="24"/>
        </w:rPr>
        <w:t>References</w:t>
      </w:r>
    </w:p>
    <w:p w14:paraId="0A871DD0" w14:textId="121333E1" w:rsidR="003524E1" w:rsidRPr="003524E1" w:rsidRDefault="003524E1" w:rsidP="003524E1">
      <w:pPr>
        <w:rPr>
          <w:color w:val="222222"/>
          <w:sz w:val="20"/>
          <w:szCs w:val="20"/>
          <w:shd w:val="clear" w:color="auto" w:fill="FFFFFF"/>
        </w:rPr>
      </w:pPr>
      <w:r w:rsidRPr="003524E1">
        <w:rPr>
          <w:color w:val="222222"/>
          <w:sz w:val="20"/>
          <w:szCs w:val="20"/>
          <w:shd w:val="clear" w:color="auto" w:fill="FFFFFF"/>
        </w:rPr>
        <w:t xml:space="preserve">Addy, N., Mathieu, J.L., </w:t>
      </w:r>
      <w:proofErr w:type="spellStart"/>
      <w:r w:rsidRPr="003524E1">
        <w:rPr>
          <w:color w:val="222222"/>
          <w:sz w:val="20"/>
          <w:szCs w:val="20"/>
          <w:shd w:val="clear" w:color="auto" w:fill="FFFFFF"/>
        </w:rPr>
        <w:t>Kiliccote</w:t>
      </w:r>
      <w:proofErr w:type="spellEnd"/>
      <w:r w:rsidRPr="003524E1">
        <w:rPr>
          <w:color w:val="222222"/>
          <w:sz w:val="20"/>
          <w:szCs w:val="20"/>
          <w:shd w:val="clear" w:color="auto" w:fill="FFFFFF"/>
        </w:rPr>
        <w:t>, S. and Callaway, D.S., 2012, November. Understanding the effect of baseline modeling implementation choices on analysis of demand response performance. In</w:t>
      </w:r>
      <w:r w:rsidRPr="003524E1">
        <w:rPr>
          <w:rStyle w:val="apple-converted-space"/>
          <w:color w:val="222222"/>
          <w:sz w:val="20"/>
          <w:szCs w:val="20"/>
          <w:shd w:val="clear" w:color="auto" w:fill="FFFFFF"/>
        </w:rPr>
        <w:t> </w:t>
      </w:r>
      <w:r w:rsidRPr="003524E1">
        <w:rPr>
          <w:i/>
          <w:iCs/>
          <w:color w:val="222222"/>
          <w:sz w:val="20"/>
          <w:szCs w:val="20"/>
        </w:rPr>
        <w:t>ASME 2012 International Mechanical Engineering Congress and Exposition</w:t>
      </w:r>
      <w:r w:rsidRPr="003524E1">
        <w:rPr>
          <w:rStyle w:val="apple-converted-space"/>
          <w:color w:val="222222"/>
          <w:sz w:val="20"/>
          <w:szCs w:val="20"/>
          <w:shd w:val="clear" w:color="auto" w:fill="FFFFFF"/>
        </w:rPr>
        <w:t> </w:t>
      </w:r>
      <w:r w:rsidRPr="003524E1">
        <w:rPr>
          <w:color w:val="222222"/>
          <w:sz w:val="20"/>
          <w:szCs w:val="20"/>
          <w:shd w:val="clear" w:color="auto" w:fill="FFFFFF"/>
        </w:rPr>
        <w:t>(pp. 133-141). American Society of Mechanical Engineers.</w:t>
      </w:r>
    </w:p>
    <w:p w14:paraId="732C7E9A" w14:textId="77777777" w:rsidR="003524E1" w:rsidRDefault="003524E1" w:rsidP="003524E1">
      <w:pPr>
        <w:rPr>
          <w:color w:val="222222"/>
          <w:sz w:val="20"/>
          <w:szCs w:val="20"/>
        </w:rPr>
      </w:pPr>
    </w:p>
    <w:p w14:paraId="186D2830" w14:textId="56F43F48" w:rsidR="003524E1" w:rsidRPr="003524E1" w:rsidRDefault="003524E1" w:rsidP="003524E1">
      <w:pPr>
        <w:rPr>
          <w:color w:val="222222"/>
          <w:sz w:val="20"/>
          <w:szCs w:val="20"/>
        </w:rPr>
      </w:pPr>
      <w:r w:rsidRPr="003524E1">
        <w:rPr>
          <w:color w:val="222222"/>
          <w:sz w:val="20"/>
          <w:szCs w:val="20"/>
        </w:rPr>
        <w:t>Chao, H.P., 2010. Price-responsive demand management for a smart grid world.</w:t>
      </w:r>
      <w:r w:rsidRPr="003524E1">
        <w:rPr>
          <w:rStyle w:val="apple-converted-space"/>
          <w:color w:val="222222"/>
          <w:sz w:val="20"/>
          <w:szCs w:val="20"/>
        </w:rPr>
        <w:t> </w:t>
      </w:r>
      <w:r w:rsidRPr="003524E1">
        <w:rPr>
          <w:i/>
          <w:iCs/>
          <w:color w:val="222222"/>
          <w:sz w:val="20"/>
          <w:szCs w:val="20"/>
        </w:rPr>
        <w:t>The Electricity Journal</w:t>
      </w:r>
      <w:r w:rsidRPr="003524E1">
        <w:rPr>
          <w:color w:val="222222"/>
          <w:sz w:val="20"/>
          <w:szCs w:val="20"/>
        </w:rPr>
        <w:t>,</w:t>
      </w:r>
      <w:r w:rsidRPr="003524E1">
        <w:rPr>
          <w:rStyle w:val="apple-converted-space"/>
          <w:color w:val="222222"/>
          <w:sz w:val="20"/>
          <w:szCs w:val="20"/>
        </w:rPr>
        <w:t> </w:t>
      </w:r>
      <w:r w:rsidRPr="003524E1">
        <w:rPr>
          <w:i/>
          <w:iCs/>
          <w:color w:val="222222"/>
          <w:sz w:val="20"/>
          <w:szCs w:val="20"/>
        </w:rPr>
        <w:t>23</w:t>
      </w:r>
      <w:r w:rsidRPr="003524E1">
        <w:rPr>
          <w:color w:val="222222"/>
          <w:sz w:val="20"/>
          <w:szCs w:val="20"/>
        </w:rPr>
        <w:t>(1), pp.7-20.</w:t>
      </w:r>
    </w:p>
    <w:p w14:paraId="17E77A7D" w14:textId="77777777" w:rsidR="003524E1" w:rsidRDefault="003524E1" w:rsidP="003524E1">
      <w:pPr>
        <w:rPr>
          <w:color w:val="222222"/>
          <w:sz w:val="20"/>
          <w:szCs w:val="20"/>
        </w:rPr>
      </w:pPr>
    </w:p>
    <w:p w14:paraId="142E8BCA" w14:textId="0029F90D" w:rsidR="003524E1" w:rsidRDefault="003524E1" w:rsidP="003524E1">
      <w:pPr>
        <w:rPr>
          <w:color w:val="222222"/>
          <w:sz w:val="20"/>
          <w:szCs w:val="20"/>
        </w:rPr>
      </w:pPr>
      <w:r w:rsidRPr="003524E1">
        <w:rPr>
          <w:color w:val="222222"/>
          <w:sz w:val="20"/>
          <w:szCs w:val="20"/>
        </w:rPr>
        <w:t>Deng, R., Yang, Z., Chow, M.Y. and Chen, J., 2015. A survey on demand response in smart grids: Mathematical models and approaches.</w:t>
      </w:r>
      <w:r w:rsidRPr="003524E1">
        <w:rPr>
          <w:rStyle w:val="apple-converted-space"/>
          <w:color w:val="222222"/>
          <w:sz w:val="20"/>
          <w:szCs w:val="20"/>
        </w:rPr>
        <w:t> </w:t>
      </w:r>
      <w:r w:rsidRPr="003524E1">
        <w:rPr>
          <w:color w:val="222222"/>
          <w:sz w:val="20"/>
          <w:szCs w:val="20"/>
        </w:rPr>
        <w:t>IEEE Transactions on Industrial Informatics,</w:t>
      </w:r>
      <w:r w:rsidRPr="003524E1">
        <w:rPr>
          <w:rStyle w:val="apple-converted-space"/>
          <w:color w:val="222222"/>
          <w:sz w:val="20"/>
          <w:szCs w:val="20"/>
        </w:rPr>
        <w:t> </w:t>
      </w:r>
      <w:r w:rsidRPr="003524E1">
        <w:rPr>
          <w:color w:val="222222"/>
          <w:sz w:val="20"/>
          <w:szCs w:val="20"/>
        </w:rPr>
        <w:t>11(3), pp.570-582.</w:t>
      </w:r>
    </w:p>
    <w:p w14:paraId="65440CCF" w14:textId="77777777" w:rsidR="003524E1" w:rsidRPr="003524E1" w:rsidRDefault="003524E1" w:rsidP="003524E1">
      <w:pPr>
        <w:rPr>
          <w:color w:val="222222"/>
          <w:sz w:val="20"/>
          <w:szCs w:val="20"/>
        </w:rPr>
      </w:pPr>
    </w:p>
    <w:p w14:paraId="5EF3FAB0" w14:textId="77777777" w:rsidR="003524E1" w:rsidRDefault="003524E1" w:rsidP="003524E1">
      <w:pPr>
        <w:pStyle w:val="BodyText2"/>
        <w:spacing w:after="200"/>
        <w:jc w:val="left"/>
        <w:rPr>
          <w:color w:val="222222"/>
        </w:rPr>
      </w:pPr>
      <w:r w:rsidRPr="003524E1">
        <w:rPr>
          <w:color w:val="222222"/>
        </w:rPr>
        <w:t>Hogan, W., 2010. Demand response pricing in organized wholesale markets.</w:t>
      </w:r>
      <w:r w:rsidRPr="003524E1">
        <w:rPr>
          <w:rStyle w:val="apple-converted-space"/>
          <w:color w:val="222222"/>
        </w:rPr>
        <w:t> </w:t>
      </w:r>
      <w:r w:rsidRPr="003524E1">
        <w:rPr>
          <w:i/>
          <w:iCs/>
          <w:color w:val="222222"/>
        </w:rPr>
        <w:t>ISO/RTO Council Comments on Demand Response Compensation in Organized Wholesale Energy Markets</w:t>
      </w:r>
      <w:r w:rsidRPr="003524E1">
        <w:rPr>
          <w:color w:val="222222"/>
        </w:rPr>
        <w:t>,</w:t>
      </w:r>
      <w:r w:rsidRPr="003524E1">
        <w:rPr>
          <w:rStyle w:val="apple-converted-space"/>
          <w:color w:val="222222"/>
        </w:rPr>
        <w:t> </w:t>
      </w:r>
      <w:r w:rsidRPr="003524E1">
        <w:rPr>
          <w:i/>
          <w:iCs/>
          <w:color w:val="222222"/>
        </w:rPr>
        <w:t>13</w:t>
      </w:r>
      <w:r w:rsidRPr="003524E1">
        <w:rPr>
          <w:color w:val="222222"/>
        </w:rPr>
        <w:t>.</w:t>
      </w:r>
    </w:p>
    <w:p w14:paraId="37F0CC5E" w14:textId="50E520AE" w:rsidR="003524E1" w:rsidRDefault="003524E1" w:rsidP="003524E1">
      <w:pPr>
        <w:pStyle w:val="BodyText2"/>
        <w:spacing w:after="200"/>
        <w:jc w:val="left"/>
        <w:rPr>
          <w:color w:val="222222"/>
        </w:rPr>
      </w:pPr>
      <w:r w:rsidRPr="003524E1">
        <w:rPr>
          <w:color w:val="222222"/>
          <w:shd w:val="clear" w:color="auto" w:fill="FFFFFF"/>
        </w:rPr>
        <w:t>Nolan, S. and O’Malley, M., 2015. Challenges and barriers to demand response deployment and evaluation.</w:t>
      </w:r>
      <w:r w:rsidRPr="003524E1">
        <w:rPr>
          <w:rStyle w:val="apple-converted-space"/>
          <w:color w:val="222222"/>
          <w:shd w:val="clear" w:color="auto" w:fill="FFFFFF"/>
        </w:rPr>
        <w:t> </w:t>
      </w:r>
      <w:r w:rsidRPr="003524E1">
        <w:rPr>
          <w:i/>
          <w:iCs/>
          <w:color w:val="222222"/>
        </w:rPr>
        <w:t>Applied Energy</w:t>
      </w:r>
      <w:r w:rsidRPr="003524E1">
        <w:rPr>
          <w:color w:val="222222"/>
          <w:shd w:val="clear" w:color="auto" w:fill="FFFFFF"/>
        </w:rPr>
        <w:t>,</w:t>
      </w:r>
      <w:r w:rsidRPr="003524E1">
        <w:rPr>
          <w:rStyle w:val="apple-converted-space"/>
          <w:color w:val="222222"/>
          <w:shd w:val="clear" w:color="auto" w:fill="FFFFFF"/>
        </w:rPr>
        <w:t> </w:t>
      </w:r>
      <w:r w:rsidRPr="003524E1">
        <w:rPr>
          <w:i/>
          <w:iCs/>
          <w:color w:val="222222"/>
        </w:rPr>
        <w:t>152</w:t>
      </w:r>
      <w:r w:rsidRPr="003524E1">
        <w:rPr>
          <w:color w:val="222222"/>
          <w:shd w:val="clear" w:color="auto" w:fill="FFFFFF"/>
        </w:rPr>
        <w:t>, pp.1-10.</w:t>
      </w:r>
    </w:p>
    <w:p w14:paraId="3DA470DB" w14:textId="2BDCFA02" w:rsidR="003524E1" w:rsidRPr="003524E1" w:rsidRDefault="003524E1" w:rsidP="003524E1">
      <w:pPr>
        <w:pStyle w:val="BodyText2"/>
        <w:spacing w:after="200"/>
        <w:jc w:val="left"/>
      </w:pPr>
      <w:r w:rsidRPr="003524E1">
        <w:rPr>
          <w:color w:val="222222"/>
          <w:shd w:val="clear" w:color="auto" w:fill="FFFFFF"/>
        </w:rPr>
        <w:t>Ruff, L.E., 2002. Demand response: Reality versus “resource”.</w:t>
      </w:r>
      <w:r w:rsidRPr="003524E1">
        <w:rPr>
          <w:rStyle w:val="apple-converted-space"/>
          <w:color w:val="222222"/>
          <w:shd w:val="clear" w:color="auto" w:fill="FFFFFF"/>
        </w:rPr>
        <w:t> </w:t>
      </w:r>
      <w:r w:rsidRPr="003524E1">
        <w:rPr>
          <w:i/>
          <w:iCs/>
          <w:color w:val="222222"/>
        </w:rPr>
        <w:t>The Electricity Journal</w:t>
      </w:r>
      <w:r w:rsidRPr="003524E1">
        <w:rPr>
          <w:color w:val="222222"/>
          <w:shd w:val="clear" w:color="auto" w:fill="FFFFFF"/>
        </w:rPr>
        <w:t>,</w:t>
      </w:r>
      <w:r w:rsidRPr="003524E1">
        <w:rPr>
          <w:rStyle w:val="apple-converted-space"/>
          <w:color w:val="222222"/>
          <w:shd w:val="clear" w:color="auto" w:fill="FFFFFF"/>
        </w:rPr>
        <w:t> </w:t>
      </w:r>
      <w:r w:rsidRPr="003524E1">
        <w:rPr>
          <w:i/>
          <w:iCs/>
          <w:color w:val="222222"/>
        </w:rPr>
        <w:t>15</w:t>
      </w:r>
      <w:r w:rsidRPr="003524E1">
        <w:rPr>
          <w:color w:val="222222"/>
          <w:shd w:val="clear" w:color="auto" w:fill="FFFFFF"/>
        </w:rPr>
        <w:t>(10), pp.10-23.</w:t>
      </w:r>
    </w:p>
    <w:p w14:paraId="6519C872" w14:textId="77777777" w:rsidR="003524E1" w:rsidRPr="003524E1" w:rsidRDefault="003524E1" w:rsidP="003524E1">
      <w:pPr>
        <w:rPr>
          <w:sz w:val="20"/>
          <w:szCs w:val="20"/>
        </w:rPr>
      </w:pPr>
    </w:p>
    <w:p w14:paraId="17480BE1" w14:textId="77777777" w:rsidR="003524E1" w:rsidRPr="003524E1" w:rsidRDefault="003524E1" w:rsidP="003524E1">
      <w:pPr>
        <w:pStyle w:val="BodyText2"/>
        <w:spacing w:after="200"/>
        <w:rPr>
          <w:i/>
        </w:rPr>
      </w:pPr>
    </w:p>
    <w:sectPr w:rsidR="003524E1" w:rsidRPr="003524E1" w:rsidSect="00FC73E0">
      <w:headerReference w:type="first" r:id="rId7"/>
      <w:type w:val="continuous"/>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2779B" w14:textId="77777777" w:rsidR="00A623BD" w:rsidRDefault="00A623BD">
      <w:r>
        <w:separator/>
      </w:r>
    </w:p>
  </w:endnote>
  <w:endnote w:type="continuationSeparator" w:id="0">
    <w:p w14:paraId="04AAACA7" w14:textId="77777777" w:rsidR="00A623BD" w:rsidRDefault="00A62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ms Rmn">
    <w:altName w:val="Times New Roman"/>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36D4B" w14:textId="77777777" w:rsidR="00A623BD" w:rsidRDefault="00A623BD">
      <w:r>
        <w:separator/>
      </w:r>
    </w:p>
  </w:footnote>
  <w:footnote w:type="continuationSeparator" w:id="0">
    <w:p w14:paraId="58CAFC13" w14:textId="77777777" w:rsidR="00A623BD" w:rsidRDefault="00A62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61D3" w14:textId="77777777" w:rsidR="005A5112" w:rsidRDefault="005A5112" w:rsidP="00DC69F1">
    <w:pPr>
      <w:pStyle w:val="Header"/>
      <w:tabs>
        <w:tab w:val="clear" w:pos="5400"/>
        <w:tab w:val="center" w:pos="851"/>
      </w:tabs>
      <w:jc w:val="right"/>
    </w:pPr>
    <w:r>
      <w:rPr>
        <w:lang w:val="en-U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01E0D"/>
    <w:multiLevelType w:val="singleLevel"/>
    <w:tmpl w:val="17E28CCC"/>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0A41059"/>
    <w:multiLevelType w:val="singleLevel"/>
    <w:tmpl w:val="B4D86B60"/>
    <w:lvl w:ilvl="0">
      <w:start w:val="1"/>
      <w:numFmt w:val="decimal"/>
      <w:lvlText w:val="%1."/>
      <w:lvlJc w:val="left"/>
      <w:pPr>
        <w:tabs>
          <w:tab w:val="num" w:pos="723"/>
        </w:tabs>
        <w:ind w:left="723" w:hanging="435"/>
      </w:pPr>
      <w:rPr>
        <w:rFonts w:hint="default"/>
      </w:rPr>
    </w:lvl>
  </w:abstractNum>
  <w:abstractNum w:abstractNumId="2" w15:restartNumberingAfterBreak="0">
    <w:nsid w:val="10E67A70"/>
    <w:multiLevelType w:val="singleLevel"/>
    <w:tmpl w:val="DEDEAE42"/>
    <w:lvl w:ilvl="0">
      <w:start w:val="1"/>
      <w:numFmt w:val="decimal"/>
      <w:lvlText w:val="%1"/>
      <w:lvlJc w:val="left"/>
      <w:pPr>
        <w:tabs>
          <w:tab w:val="num" w:pos="720"/>
        </w:tabs>
        <w:ind w:left="720" w:hanging="720"/>
      </w:pPr>
      <w:rPr>
        <w:rFonts w:hint="default"/>
      </w:rPr>
    </w:lvl>
  </w:abstractNum>
  <w:abstractNum w:abstractNumId="3" w15:restartNumberingAfterBreak="0">
    <w:nsid w:val="12D63ED5"/>
    <w:multiLevelType w:val="hybridMultilevel"/>
    <w:tmpl w:val="6B46CE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F0437"/>
    <w:multiLevelType w:val="singleLevel"/>
    <w:tmpl w:val="924860C8"/>
    <w:lvl w:ilvl="0">
      <w:start w:val="12"/>
      <w:numFmt w:val="bullet"/>
      <w:lvlText w:val="-"/>
      <w:lvlJc w:val="left"/>
      <w:pPr>
        <w:tabs>
          <w:tab w:val="num" w:pos="420"/>
        </w:tabs>
        <w:ind w:left="420" w:hanging="360"/>
      </w:pPr>
      <w:rPr>
        <w:rFonts w:ascii="Times New Roman" w:hAnsi="Times New Roman" w:hint="default"/>
      </w:rPr>
    </w:lvl>
  </w:abstractNum>
  <w:abstractNum w:abstractNumId="5" w15:restartNumberingAfterBreak="0">
    <w:nsid w:val="24DC3391"/>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6204CC"/>
    <w:multiLevelType w:val="hybridMultilevel"/>
    <w:tmpl w:val="5B88F87E"/>
    <w:lvl w:ilvl="0">
      <w:start w:val="1"/>
      <w:numFmt w:val="lowerRoman"/>
      <w:lvlText w:val="%1.)"/>
      <w:lvlJc w:val="left"/>
      <w:pPr>
        <w:tabs>
          <w:tab w:val="num" w:pos="540"/>
        </w:tabs>
        <w:ind w:left="255" w:hanging="435"/>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7" w15:restartNumberingAfterBreak="0">
    <w:nsid w:val="2EAA7558"/>
    <w:multiLevelType w:val="hybridMultilevel"/>
    <w:tmpl w:val="EE18B3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81A2E"/>
    <w:multiLevelType w:val="hybridMultilevel"/>
    <w:tmpl w:val="60367C9A"/>
    <w:lvl w:ilvl="0">
      <w:start w:val="1"/>
      <w:numFmt w:val="lowerRoman"/>
      <w:lvlText w:val="%1.)"/>
      <w:lvlJc w:val="left"/>
      <w:pPr>
        <w:tabs>
          <w:tab w:val="num" w:pos="720"/>
        </w:tabs>
        <w:ind w:left="435" w:hanging="435"/>
      </w:pPr>
      <w:rPr>
        <w:rFonts w:hint="default"/>
      </w:rPr>
    </w:lvl>
    <w:lvl w:ilvl="1">
      <w:start w:val="8"/>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15:restartNumberingAfterBreak="0">
    <w:nsid w:val="3A2C5EE1"/>
    <w:multiLevelType w:val="hybridMultilevel"/>
    <w:tmpl w:val="323EEB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E1A25F6"/>
    <w:multiLevelType w:val="hybridMultilevel"/>
    <w:tmpl w:val="E99808A0"/>
    <w:lvl w:ilvl="0">
      <w:start w:val="1"/>
      <w:numFmt w:val="lowerRoman"/>
      <w:lvlText w:val="%1.)"/>
      <w:lvlJc w:val="left"/>
      <w:pPr>
        <w:tabs>
          <w:tab w:val="num" w:pos="720"/>
        </w:tabs>
        <w:ind w:left="43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F207471"/>
    <w:multiLevelType w:val="hybridMultilevel"/>
    <w:tmpl w:val="D2EC5A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484757"/>
    <w:multiLevelType w:val="hybridMultilevel"/>
    <w:tmpl w:val="2536FB9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3EC7B76"/>
    <w:multiLevelType w:val="hybridMultilevel"/>
    <w:tmpl w:val="3C0E520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719490F"/>
    <w:multiLevelType w:val="hybridMultilevel"/>
    <w:tmpl w:val="1E7829D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E6F4106"/>
    <w:multiLevelType w:val="hybridMultilevel"/>
    <w:tmpl w:val="AA2E19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F564C8"/>
    <w:multiLevelType w:val="singleLevel"/>
    <w:tmpl w:val="58169C78"/>
    <w:lvl w:ilvl="0">
      <w:start w:val="1"/>
      <w:numFmt w:val="decimal"/>
      <w:lvlText w:val="%1."/>
      <w:legacy w:legacy="1" w:legacySpace="0" w:legacyIndent="360"/>
      <w:lvlJc w:val="left"/>
      <w:pPr>
        <w:ind w:left="720" w:hanging="360"/>
      </w:pPr>
    </w:lvl>
  </w:abstractNum>
  <w:abstractNum w:abstractNumId="17" w15:restartNumberingAfterBreak="0">
    <w:nsid w:val="5A5B25FE"/>
    <w:multiLevelType w:val="hybridMultilevel"/>
    <w:tmpl w:val="65F2882E"/>
    <w:lvl w:ilvl="0">
      <w:start w:val="1"/>
      <w:numFmt w:val="lowerRoman"/>
      <w:lvlText w:val="%1.)"/>
      <w:lvlJc w:val="left"/>
      <w:pPr>
        <w:tabs>
          <w:tab w:val="num" w:pos="540"/>
        </w:tabs>
        <w:ind w:left="255" w:hanging="435"/>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8" w15:restartNumberingAfterBreak="0">
    <w:nsid w:val="60E750A6"/>
    <w:multiLevelType w:val="hybridMultilevel"/>
    <w:tmpl w:val="F6BAC8BE"/>
    <w:lvl w:ilvl="0">
      <w:start w:val="1"/>
      <w:numFmt w:val="decimal"/>
      <w:lvlText w:val="%1."/>
      <w:lvlJc w:val="left"/>
      <w:pPr>
        <w:tabs>
          <w:tab w:val="num" w:pos="180"/>
        </w:tabs>
        <w:ind w:left="180" w:hanging="36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9" w15:restartNumberingAfterBreak="0">
    <w:nsid w:val="63A74126"/>
    <w:multiLevelType w:val="hybridMultilevel"/>
    <w:tmpl w:val="2CB469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E71495"/>
    <w:multiLevelType w:val="singleLevel"/>
    <w:tmpl w:val="94A032AE"/>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6B84080A"/>
    <w:multiLevelType w:val="hybridMultilevel"/>
    <w:tmpl w:val="5436F5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BB7FAC"/>
    <w:multiLevelType w:val="hybridMultilevel"/>
    <w:tmpl w:val="945E665A"/>
    <w:lvl w:ilvl="0">
      <w:start w:val="1"/>
      <w:numFmt w:val="decimal"/>
      <w:pStyle w:val="References"/>
      <w:lvlText w:val="%1."/>
      <w:lvlJc w:val="left"/>
      <w:pPr>
        <w:tabs>
          <w:tab w:val="num" w:pos="360"/>
        </w:tabs>
        <w:ind w:left="360" w:hanging="360"/>
      </w:pPr>
      <w:rPr>
        <w:rFonts w:hint="default"/>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3" w15:restartNumberingAfterBreak="0">
    <w:nsid w:val="7579615C"/>
    <w:multiLevelType w:val="hybridMultilevel"/>
    <w:tmpl w:val="B62C60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F2315F"/>
    <w:multiLevelType w:val="singleLevel"/>
    <w:tmpl w:val="924860C8"/>
    <w:lvl w:ilvl="0">
      <w:start w:val="12"/>
      <w:numFmt w:val="bullet"/>
      <w:lvlText w:val="-"/>
      <w:lvlJc w:val="left"/>
      <w:pPr>
        <w:tabs>
          <w:tab w:val="num" w:pos="420"/>
        </w:tabs>
        <w:ind w:left="420" w:hanging="360"/>
      </w:pPr>
      <w:rPr>
        <w:rFonts w:ascii="Times New Roman" w:hAnsi="Times New Roman" w:hint="default"/>
      </w:rPr>
    </w:lvl>
  </w:abstractNum>
  <w:num w:numId="1">
    <w:abstractNumId w:val="1"/>
  </w:num>
  <w:num w:numId="2">
    <w:abstractNumId w:val="20"/>
  </w:num>
  <w:num w:numId="3">
    <w:abstractNumId w:val="16"/>
  </w:num>
  <w:num w:numId="4">
    <w:abstractNumId w:val="2"/>
  </w:num>
  <w:num w:numId="5">
    <w:abstractNumId w:val="0"/>
  </w:num>
  <w:num w:numId="6">
    <w:abstractNumId w:val="24"/>
  </w:num>
  <w:num w:numId="7">
    <w:abstractNumId w:val="4"/>
  </w:num>
  <w:num w:numId="8">
    <w:abstractNumId w:val="13"/>
  </w:num>
  <w:num w:numId="9">
    <w:abstractNumId w:val="12"/>
  </w:num>
  <w:num w:numId="10">
    <w:abstractNumId w:val="21"/>
  </w:num>
  <w:num w:numId="11">
    <w:abstractNumId w:val="14"/>
  </w:num>
  <w:num w:numId="12">
    <w:abstractNumId w:val="7"/>
  </w:num>
  <w:num w:numId="13">
    <w:abstractNumId w:val="11"/>
  </w:num>
  <w:num w:numId="14">
    <w:abstractNumId w:val="19"/>
  </w:num>
  <w:num w:numId="15">
    <w:abstractNumId w:val="23"/>
  </w:num>
  <w:num w:numId="16">
    <w:abstractNumId w:val="8"/>
  </w:num>
  <w:num w:numId="17">
    <w:abstractNumId w:val="9"/>
  </w:num>
  <w:num w:numId="18">
    <w:abstractNumId w:val="3"/>
  </w:num>
  <w:num w:numId="19">
    <w:abstractNumId w:val="15"/>
  </w:num>
  <w:num w:numId="20">
    <w:abstractNumId w:val="10"/>
  </w:num>
  <w:num w:numId="21">
    <w:abstractNumId w:val="6"/>
  </w:num>
  <w:num w:numId="22">
    <w:abstractNumId w:val="17"/>
  </w:num>
  <w:num w:numId="23">
    <w:abstractNumId w:val="18"/>
  </w:num>
  <w:num w:numId="24">
    <w:abstractNumId w:val="2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DE"/>
    <w:rsid w:val="003205A8"/>
    <w:rsid w:val="003205E5"/>
    <w:rsid w:val="003524E1"/>
    <w:rsid w:val="004A675F"/>
    <w:rsid w:val="004C048E"/>
    <w:rsid w:val="00567821"/>
    <w:rsid w:val="005A5112"/>
    <w:rsid w:val="006254AA"/>
    <w:rsid w:val="006333C3"/>
    <w:rsid w:val="00633A73"/>
    <w:rsid w:val="00717658"/>
    <w:rsid w:val="007D62F3"/>
    <w:rsid w:val="007E1331"/>
    <w:rsid w:val="00961948"/>
    <w:rsid w:val="009B581D"/>
    <w:rsid w:val="00A42F50"/>
    <w:rsid w:val="00A623BD"/>
    <w:rsid w:val="00A96D21"/>
    <w:rsid w:val="00B02B7D"/>
    <w:rsid w:val="00CA0507"/>
    <w:rsid w:val="00CA4EA7"/>
    <w:rsid w:val="00D2629B"/>
    <w:rsid w:val="00D351D8"/>
    <w:rsid w:val="00DB0029"/>
    <w:rsid w:val="00DC69F1"/>
    <w:rsid w:val="00E046B2"/>
    <w:rsid w:val="00E9636B"/>
    <w:rsid w:val="00EE5954"/>
    <w:rsid w:val="00F344CF"/>
    <w:rsid w:val="00FC7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80705"/>
  <w15:chartTrackingRefBased/>
  <w15:docId w15:val="{79A3CFC2-B1CC-C043-AB7F-D68077F9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24E1"/>
    <w:rPr>
      <w:rFonts w:ascii="Times New Roman" w:hAnsi="Times New Roman"/>
      <w:sz w:val="24"/>
      <w:szCs w:val="24"/>
    </w:rPr>
  </w:style>
  <w:style w:type="paragraph" w:styleId="Heading1">
    <w:name w:val="heading 1"/>
    <w:basedOn w:val="Normal"/>
    <w:next w:val="Normal"/>
    <w:qFormat/>
    <w:pPr>
      <w:keepNext/>
      <w:spacing w:before="240" w:after="60"/>
      <w:outlineLvl w:val="0"/>
    </w:pPr>
    <w:rPr>
      <w:rFonts w:ascii="Arial" w:hAnsi="Arial"/>
      <w:b/>
      <w:sz w:val="28"/>
      <w:szCs w:val="20"/>
      <w:lang w:val="en-GB"/>
    </w:rPr>
  </w:style>
  <w:style w:type="paragraph" w:styleId="Heading2">
    <w:name w:val="heading 2"/>
    <w:basedOn w:val="Normal"/>
    <w:next w:val="Normal"/>
    <w:qFormat/>
    <w:pPr>
      <w:keepNext/>
      <w:spacing w:before="240" w:after="60"/>
      <w:outlineLvl w:val="1"/>
    </w:pPr>
    <w:rPr>
      <w:rFonts w:ascii="Arial" w:hAnsi="Arial"/>
      <w:b/>
      <w:i/>
      <w:sz w:val="22"/>
      <w:szCs w:val="20"/>
      <w:lang w:val="en-GB"/>
    </w:rPr>
  </w:style>
  <w:style w:type="paragraph" w:styleId="Heading3">
    <w:name w:val="heading 3"/>
    <w:basedOn w:val="Normal"/>
    <w:next w:val="Normal"/>
    <w:qFormat/>
    <w:pPr>
      <w:keepNext/>
      <w:spacing w:before="240" w:after="60"/>
      <w:outlineLvl w:val="2"/>
    </w:pPr>
    <w:rPr>
      <w:rFonts w:ascii="Arial" w:hAnsi="Arial"/>
      <w:b/>
      <w:bCs/>
      <w:sz w:val="20"/>
      <w:szCs w:val="20"/>
      <w:lang w:val="en-GB"/>
    </w:rPr>
  </w:style>
  <w:style w:type="paragraph" w:styleId="Heading4">
    <w:name w:val="heading 4"/>
    <w:basedOn w:val="Normal"/>
    <w:next w:val="Normal"/>
    <w:qFormat/>
    <w:pPr>
      <w:keepNext/>
      <w:outlineLvl w:val="3"/>
    </w:pPr>
    <w:rPr>
      <w:rFonts w:ascii="Arial" w:hAnsi="Arial"/>
      <w:snapToGrid w:val="0"/>
      <w:color w:val="000000"/>
      <w:szCs w:val="20"/>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rPr>
      <w:sz w:val="20"/>
      <w:szCs w:val="20"/>
      <w:lang w:val="en-GB"/>
    </w:rPr>
  </w:style>
  <w:style w:type="paragraph" w:styleId="Header">
    <w:name w:val="header"/>
    <w:basedOn w:val="Normal"/>
    <w:pPr>
      <w:tabs>
        <w:tab w:val="center" w:pos="5400"/>
        <w:tab w:val="right" w:pos="10800"/>
      </w:tabs>
    </w:pPr>
    <w:rPr>
      <w:rFonts w:ascii="Arial" w:hAnsi="Arial"/>
      <w:sz w:val="16"/>
      <w:szCs w:val="20"/>
      <w:lang w:val="en-GB"/>
    </w:rPr>
  </w:style>
  <w:style w:type="paragraph" w:styleId="Title">
    <w:name w:val="Title"/>
    <w:basedOn w:val="Number"/>
    <w:next w:val="Author"/>
    <w:qFormat/>
    <w:pPr>
      <w:spacing w:before="0" w:after="0"/>
    </w:pPr>
    <w:rPr>
      <w:b/>
      <w:bCs/>
      <w:sz w:val="22"/>
    </w:rPr>
  </w:style>
  <w:style w:type="paragraph" w:customStyle="1" w:styleId="Number">
    <w:name w:val="Number"/>
    <w:basedOn w:val="Normal"/>
    <w:next w:val="Title"/>
    <w:pPr>
      <w:spacing w:before="120" w:after="360"/>
    </w:pPr>
    <w:rPr>
      <w:rFonts w:ascii="Arial" w:hAnsi="Arial"/>
      <w:sz w:val="28"/>
      <w:szCs w:val="20"/>
      <w:lang w:val="en-GB"/>
    </w:rPr>
  </w:style>
  <w:style w:type="paragraph" w:customStyle="1" w:styleId="Author">
    <w:name w:val="Author"/>
    <w:basedOn w:val="Normal"/>
    <w:next w:val="copyright"/>
    <w:pPr>
      <w:spacing w:after="480"/>
    </w:pPr>
    <w:rPr>
      <w:rFonts w:ascii="Arial" w:hAnsi="Arial"/>
      <w:sz w:val="20"/>
      <w:szCs w:val="20"/>
      <w:lang w:val="en-GB"/>
    </w:rPr>
  </w:style>
  <w:style w:type="paragraph" w:customStyle="1" w:styleId="copyright">
    <w:name w:val="copyright"/>
    <w:basedOn w:val="Author"/>
    <w:pPr>
      <w:spacing w:after="0" w:line="140" w:lineRule="exact"/>
      <w:jc w:val="both"/>
    </w:pPr>
    <w:rPr>
      <w:sz w:val="12"/>
    </w:rPr>
  </w:style>
  <w:style w:type="paragraph" w:styleId="BodyText">
    <w:name w:val="Body Text"/>
    <w:basedOn w:val="Normal"/>
    <w:rPr>
      <w:sz w:val="22"/>
      <w:szCs w:val="20"/>
      <w:lang w:val="en-GB"/>
    </w:rPr>
  </w:style>
  <w:style w:type="paragraph" w:styleId="BodyText2">
    <w:name w:val="Body Text 2"/>
    <w:basedOn w:val="Normal"/>
    <w:pPr>
      <w:jc w:val="both"/>
    </w:pPr>
    <w:rPr>
      <w:sz w:val="20"/>
      <w:szCs w:val="20"/>
      <w:lang w:val="en-GB"/>
    </w:rPr>
  </w:style>
  <w:style w:type="paragraph" w:styleId="BlockText">
    <w:name w:val="Block Text"/>
    <w:basedOn w:val="Normal"/>
    <w:pPr>
      <w:ind w:left="144" w:right="-86" w:hanging="144"/>
      <w:jc w:val="both"/>
    </w:pPr>
    <w:rPr>
      <w:sz w:val="20"/>
      <w:szCs w:val="20"/>
      <w:lang w:val="en-GB"/>
    </w:rPr>
  </w:style>
  <w:style w:type="paragraph" w:customStyle="1" w:styleId="rule">
    <w:name w:val="rule"/>
    <w:basedOn w:val="Normal"/>
    <w:next w:val="copyright"/>
    <w:rPr>
      <w:sz w:val="20"/>
      <w:szCs w:val="20"/>
      <w:lang w:val="en-GB"/>
    </w:rPr>
  </w:style>
  <w:style w:type="paragraph" w:customStyle="1" w:styleId="Head4">
    <w:name w:val="Head4"/>
    <w:basedOn w:val="Head3"/>
    <w:next w:val="para1"/>
    <w:rPr>
      <w:b w:val="0"/>
    </w:rPr>
  </w:style>
  <w:style w:type="paragraph" w:customStyle="1" w:styleId="Head3">
    <w:name w:val="Head3"/>
    <w:basedOn w:val="para"/>
    <w:next w:val="para1"/>
    <w:pPr>
      <w:ind w:firstLine="288"/>
    </w:pPr>
    <w:rPr>
      <w:b/>
      <w:i/>
    </w:rPr>
  </w:style>
  <w:style w:type="paragraph" w:customStyle="1" w:styleId="para">
    <w:name w:val="para"/>
    <w:basedOn w:val="Normal"/>
    <w:next w:val="para1"/>
    <w:pPr>
      <w:jc w:val="both"/>
    </w:pPr>
    <w:rPr>
      <w:sz w:val="20"/>
      <w:szCs w:val="20"/>
      <w:lang w:val="en-GB"/>
    </w:rPr>
  </w:style>
  <w:style w:type="paragraph" w:customStyle="1" w:styleId="para1">
    <w:name w:val="para1"/>
    <w:basedOn w:val="para"/>
    <w:pPr>
      <w:spacing w:before="120"/>
      <w:ind w:firstLine="288"/>
    </w:pPr>
  </w:style>
  <w:style w:type="paragraph" w:styleId="BodyText3">
    <w:name w:val="Body Text 3"/>
    <w:basedOn w:val="Normal"/>
    <w:pPr>
      <w:ind w:right="-90"/>
      <w:jc w:val="both"/>
    </w:pPr>
    <w:rPr>
      <w:szCs w:val="20"/>
      <w:lang w:val="en-GB"/>
    </w:rPr>
  </w:style>
  <w:style w:type="paragraph" w:customStyle="1" w:styleId="Head2">
    <w:name w:val="Head2"/>
    <w:basedOn w:val="Head1"/>
    <w:next w:val="para1"/>
    <w:pPr>
      <w:keepNext w:val="0"/>
      <w:jc w:val="both"/>
    </w:pPr>
    <w:rPr>
      <w:rFonts w:ascii="Times New Roman" w:hAnsi="Times New Roman"/>
    </w:rPr>
  </w:style>
  <w:style w:type="paragraph" w:customStyle="1" w:styleId="Head1">
    <w:name w:val="Head1"/>
    <w:basedOn w:val="Normal"/>
    <w:next w:val="para"/>
    <w:pPr>
      <w:keepNext/>
    </w:pPr>
    <w:rPr>
      <w:rFonts w:ascii="Arial" w:hAnsi="Arial"/>
      <w:b/>
      <w:sz w:val="20"/>
      <w:szCs w:val="20"/>
      <w:lang w:val="en-GB"/>
    </w:rPr>
  </w:style>
  <w:style w:type="paragraph" w:customStyle="1" w:styleId="References">
    <w:name w:val="References"/>
    <w:basedOn w:val="para"/>
    <w:pPr>
      <w:numPr>
        <w:numId w:val="24"/>
      </w:numPr>
      <w:tabs>
        <w:tab w:val="right" w:pos="360"/>
      </w:tabs>
    </w:pPr>
  </w:style>
  <w:style w:type="paragraph" w:styleId="BodyText20">
    <w:name w:val="Body Text 2"/>
    <w:basedOn w:val="Normal"/>
    <w:pPr>
      <w:ind w:firstLine="360"/>
      <w:jc w:val="both"/>
    </w:pPr>
    <w:rPr>
      <w:sz w:val="20"/>
      <w:szCs w:val="20"/>
      <w:lang w:val="en-GB"/>
    </w:rPr>
  </w:style>
  <w:style w:type="paragraph" w:styleId="BodyTextIndent">
    <w:name w:val="Body Text Indent"/>
    <w:basedOn w:val="Normal"/>
    <w:pPr>
      <w:ind w:left="1080" w:hanging="1080"/>
      <w:jc w:val="both"/>
    </w:pPr>
    <w:rPr>
      <w:rFonts w:ascii="Arial" w:hAnsi="Arial"/>
      <w:sz w:val="22"/>
      <w:szCs w:val="20"/>
    </w:rPr>
  </w:style>
  <w:style w:type="paragraph" w:styleId="BodyTextIndent2">
    <w:name w:val="Body Text Indent 2"/>
    <w:basedOn w:val="Normal"/>
    <w:pPr>
      <w:ind w:left="360" w:hanging="720"/>
    </w:pPr>
    <w:rPr>
      <w:sz w:val="20"/>
      <w:szCs w:val="20"/>
      <w:lang w:val="en-GB"/>
    </w:rPr>
  </w:style>
  <w:style w:type="character" w:styleId="Hyperlink">
    <w:name w:val="Hyperlink"/>
    <w:rPr>
      <w:color w:val="0000FF"/>
      <w:u w:val="single"/>
    </w:rPr>
  </w:style>
  <w:style w:type="character" w:styleId="PlaceholderText">
    <w:name w:val="Placeholder Text"/>
    <w:basedOn w:val="DefaultParagraphFont"/>
    <w:uiPriority w:val="99"/>
    <w:semiHidden/>
    <w:rsid w:val="007D62F3"/>
    <w:rPr>
      <w:color w:val="808080"/>
    </w:rPr>
  </w:style>
  <w:style w:type="character" w:customStyle="1" w:styleId="apple-converted-space">
    <w:name w:val="apple-converted-space"/>
    <w:basedOn w:val="DefaultParagraphFont"/>
    <w:rsid w:val="00352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767203">
      <w:bodyDiv w:val="1"/>
      <w:marLeft w:val="0"/>
      <w:marRight w:val="0"/>
      <w:marTop w:val="0"/>
      <w:marBottom w:val="0"/>
      <w:divBdr>
        <w:top w:val="none" w:sz="0" w:space="0" w:color="auto"/>
        <w:left w:val="none" w:sz="0" w:space="0" w:color="auto"/>
        <w:bottom w:val="none" w:sz="0" w:space="0" w:color="auto"/>
        <w:right w:val="none" w:sz="0" w:space="0" w:color="auto"/>
      </w:divBdr>
      <w:divsChild>
        <w:div w:id="340855414">
          <w:marLeft w:val="0"/>
          <w:marRight w:val="0"/>
          <w:marTop w:val="0"/>
          <w:marBottom w:val="0"/>
          <w:divBdr>
            <w:top w:val="none" w:sz="0" w:space="0" w:color="auto"/>
            <w:left w:val="none" w:sz="0" w:space="0" w:color="auto"/>
            <w:bottom w:val="none" w:sz="0" w:space="0" w:color="auto"/>
            <w:right w:val="none" w:sz="0" w:space="0" w:color="auto"/>
          </w:divBdr>
        </w:div>
      </w:divsChild>
    </w:div>
    <w:div w:id="1149714695">
      <w:bodyDiv w:val="1"/>
      <w:marLeft w:val="0"/>
      <w:marRight w:val="0"/>
      <w:marTop w:val="0"/>
      <w:marBottom w:val="0"/>
      <w:divBdr>
        <w:top w:val="none" w:sz="0" w:space="0" w:color="auto"/>
        <w:left w:val="none" w:sz="0" w:space="0" w:color="auto"/>
        <w:bottom w:val="none" w:sz="0" w:space="0" w:color="auto"/>
        <w:right w:val="none" w:sz="0" w:space="0" w:color="auto"/>
      </w:divBdr>
      <w:divsChild>
        <w:div w:id="1605771013">
          <w:marLeft w:val="0"/>
          <w:marRight w:val="0"/>
          <w:marTop w:val="0"/>
          <w:marBottom w:val="0"/>
          <w:divBdr>
            <w:top w:val="none" w:sz="0" w:space="0" w:color="auto"/>
            <w:left w:val="none" w:sz="0" w:space="0" w:color="auto"/>
            <w:bottom w:val="none" w:sz="0" w:space="0" w:color="auto"/>
            <w:right w:val="none" w:sz="0" w:space="0" w:color="auto"/>
          </w:divBdr>
        </w:div>
      </w:divsChild>
    </w:div>
    <w:div w:id="1208647032">
      <w:bodyDiv w:val="1"/>
      <w:marLeft w:val="0"/>
      <w:marRight w:val="0"/>
      <w:marTop w:val="0"/>
      <w:marBottom w:val="0"/>
      <w:divBdr>
        <w:top w:val="none" w:sz="0" w:space="0" w:color="auto"/>
        <w:left w:val="none" w:sz="0" w:space="0" w:color="auto"/>
        <w:bottom w:val="none" w:sz="0" w:space="0" w:color="auto"/>
        <w:right w:val="none" w:sz="0" w:space="0" w:color="auto"/>
      </w:divBdr>
    </w:div>
    <w:div w:id="1325744858">
      <w:bodyDiv w:val="1"/>
      <w:marLeft w:val="0"/>
      <w:marRight w:val="0"/>
      <w:marTop w:val="0"/>
      <w:marBottom w:val="0"/>
      <w:divBdr>
        <w:top w:val="none" w:sz="0" w:space="0" w:color="auto"/>
        <w:left w:val="none" w:sz="0" w:space="0" w:color="auto"/>
        <w:bottom w:val="none" w:sz="0" w:space="0" w:color="auto"/>
        <w:right w:val="none" w:sz="0" w:space="0" w:color="auto"/>
      </w:divBdr>
      <w:divsChild>
        <w:div w:id="1071390551">
          <w:marLeft w:val="0"/>
          <w:marRight w:val="0"/>
          <w:marTop w:val="0"/>
          <w:marBottom w:val="0"/>
          <w:divBdr>
            <w:top w:val="none" w:sz="0" w:space="0" w:color="auto"/>
            <w:left w:val="none" w:sz="0" w:space="0" w:color="auto"/>
            <w:bottom w:val="none" w:sz="0" w:space="0" w:color="auto"/>
            <w:right w:val="none" w:sz="0" w:space="0" w:color="auto"/>
          </w:divBdr>
        </w:div>
      </w:divsChild>
    </w:div>
    <w:div w:id="1483692544">
      <w:bodyDiv w:val="1"/>
      <w:marLeft w:val="0"/>
      <w:marRight w:val="0"/>
      <w:marTop w:val="0"/>
      <w:marBottom w:val="0"/>
      <w:divBdr>
        <w:top w:val="none" w:sz="0" w:space="0" w:color="auto"/>
        <w:left w:val="none" w:sz="0" w:space="0" w:color="auto"/>
        <w:bottom w:val="none" w:sz="0" w:space="0" w:color="auto"/>
        <w:right w:val="none" w:sz="0" w:space="0" w:color="auto"/>
      </w:divBdr>
    </w:div>
    <w:div w:id="210129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1080</Words>
  <Characters>6159</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University of Groningen</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WS1</dc:creator>
  <cp:keywords/>
  <cp:lastModifiedBy>Microsoft Office User</cp:lastModifiedBy>
  <cp:revision>2</cp:revision>
  <cp:lastPrinted>2012-01-19T15:58:00Z</cp:lastPrinted>
  <dcterms:created xsi:type="dcterms:W3CDTF">2018-12-17T21:55:00Z</dcterms:created>
  <dcterms:modified xsi:type="dcterms:W3CDTF">2018-12-17T21:55:00Z</dcterms:modified>
</cp:coreProperties>
</file>