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156A9" w14:textId="77777777" w:rsidR="00DC69F1" w:rsidRDefault="00DC69F1" w:rsidP="00442940">
      <w:pPr>
        <w:framePr w:w="10800" w:h="1901" w:hRule="exact" w:hSpace="187" w:wrap="auto" w:vAnchor="page" w:hAnchor="page" w:x="714" w:y="1085"/>
        <w:jc w:val="center"/>
      </w:pPr>
      <w:bookmarkStart w:id="0" w:name="_GoBack"/>
      <w:bookmarkEnd w:id="0"/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r>
        <w:tab/>
      </w:r>
    </w:p>
    <w:p w14:paraId="01D66E76" w14:textId="77777777" w:rsidR="00DC69F1" w:rsidRDefault="0015224D" w:rsidP="00442940">
      <w:pPr>
        <w:pStyle w:val="a6"/>
        <w:framePr w:w="10800" w:h="1901" w:hRule="exact" w:hSpace="187" w:wrap="auto" w:vAnchor="page" w:hAnchor="page" w:x="714" w:y="1085"/>
        <w:rPr>
          <w:b/>
          <w:sz w:val="28"/>
          <w:szCs w:val="28"/>
        </w:rPr>
      </w:pPr>
      <w:r w:rsidRPr="0015224D">
        <w:rPr>
          <w:b/>
          <w:i/>
          <w:caps/>
          <w:sz w:val="28"/>
          <w:szCs w:val="28"/>
        </w:rPr>
        <w:t xml:space="preserve">ANALYSIS OF ENERGY INTENSITY OF </w:t>
      </w:r>
      <w:r w:rsidR="00DE66F5">
        <w:rPr>
          <w:b/>
          <w:i/>
          <w:caps/>
          <w:sz w:val="28"/>
          <w:szCs w:val="28"/>
        </w:rPr>
        <w:t>BASIC</w:t>
      </w:r>
      <w:r w:rsidRPr="0015224D">
        <w:rPr>
          <w:b/>
          <w:i/>
          <w:caps/>
          <w:sz w:val="28"/>
          <w:szCs w:val="28"/>
        </w:rPr>
        <w:t xml:space="preserve"> MATERIALS INDUSTRY IN JAPAN</w:t>
      </w:r>
    </w:p>
    <w:p w14:paraId="1A5848E9" w14:textId="77777777" w:rsidR="00DC69F1" w:rsidRPr="00D767DA" w:rsidRDefault="00DC69F1" w:rsidP="00442940">
      <w:pPr>
        <w:pStyle w:val="20"/>
        <w:framePr w:w="10800" w:h="1901" w:hRule="exact" w:hSpace="187" w:wrap="auto" w:vAnchor="page" w:hAnchor="page" w:x="714" w:y="1085"/>
        <w:spacing w:after="200"/>
        <w:rPr>
          <w:i/>
        </w:rPr>
      </w:pPr>
    </w:p>
    <w:p w14:paraId="47F1D449" w14:textId="460A9661" w:rsidR="00A66100" w:rsidRPr="00260A22" w:rsidRDefault="00A66100" w:rsidP="00442940">
      <w:pPr>
        <w:pStyle w:val="a6"/>
        <w:framePr w:w="10800" w:h="1901" w:hRule="exact" w:hSpace="187" w:wrap="auto" w:vAnchor="page" w:hAnchor="page" w:x="714" w:y="1085"/>
        <w:jc w:val="right"/>
        <w:rPr>
          <w:sz w:val="20"/>
        </w:rPr>
      </w:pPr>
      <w:r w:rsidRPr="00260A22">
        <w:rPr>
          <w:sz w:val="20"/>
        </w:rPr>
        <w:t>Junichiro Oda, RITE, Phone</w:t>
      </w:r>
      <w:r w:rsidR="00990814" w:rsidRPr="00260A22">
        <w:rPr>
          <w:sz w:val="20"/>
        </w:rPr>
        <w:t xml:space="preserve">: </w:t>
      </w:r>
      <w:r w:rsidRPr="00260A22">
        <w:rPr>
          <w:sz w:val="20"/>
        </w:rPr>
        <w:t xml:space="preserve"> +81 774 75 2304, E-mail: jun-oda@rite.or.jp</w:t>
      </w:r>
    </w:p>
    <w:p w14:paraId="2369C37F" w14:textId="090E152E" w:rsidR="00A66100" w:rsidRPr="00260A22" w:rsidRDefault="00A66100" w:rsidP="00442940">
      <w:pPr>
        <w:pStyle w:val="a6"/>
        <w:framePr w:w="10800" w:h="1901" w:hRule="exact" w:hSpace="187" w:wrap="auto" w:vAnchor="page" w:hAnchor="page" w:x="714" w:y="1085"/>
        <w:jc w:val="right"/>
        <w:rPr>
          <w:sz w:val="20"/>
        </w:rPr>
      </w:pPr>
      <w:proofErr w:type="spellStart"/>
      <w:r w:rsidRPr="00260A22">
        <w:rPr>
          <w:sz w:val="20"/>
        </w:rPr>
        <w:t>Keigo</w:t>
      </w:r>
      <w:proofErr w:type="spellEnd"/>
      <w:r w:rsidRPr="00260A22">
        <w:rPr>
          <w:sz w:val="20"/>
        </w:rPr>
        <w:t xml:space="preserve"> Akimoto, RITE, Phone</w:t>
      </w:r>
      <w:r w:rsidR="00990814">
        <w:rPr>
          <w:sz w:val="20"/>
        </w:rPr>
        <w:t>:</w:t>
      </w:r>
      <w:r w:rsidRPr="00260A22">
        <w:rPr>
          <w:sz w:val="20"/>
        </w:rPr>
        <w:t xml:space="preserve"> +81 774 75 2304, E-mail: aki@rite.or.jp</w:t>
      </w:r>
    </w:p>
    <w:p w14:paraId="2B7DA3D9" w14:textId="77777777" w:rsidR="00DC69F1" w:rsidRPr="00D767DA" w:rsidRDefault="00A66100" w:rsidP="00442940">
      <w:pPr>
        <w:pStyle w:val="20"/>
        <w:framePr w:w="10800" w:h="1901" w:hRule="exact" w:hSpace="187" w:wrap="auto" w:vAnchor="page" w:hAnchor="page" w:x="714" w:y="1085"/>
        <w:spacing w:after="200"/>
        <w:jc w:val="right"/>
        <w:rPr>
          <w:i/>
        </w:rPr>
      </w:pPr>
      <w:r w:rsidRPr="003201CE">
        <w:rPr>
          <w:highlight w:val="yellow"/>
        </w:rPr>
        <w:t xml:space="preserve"> </w:t>
      </w:r>
    </w:p>
    <w:p w14:paraId="0E0384F7" w14:textId="77777777" w:rsidR="00DC69F1" w:rsidRDefault="00DC69F1">
      <w:pPr>
        <w:pStyle w:val="copyright"/>
      </w:pPr>
    </w:p>
    <w:p w14:paraId="3810B5FF" w14:textId="77777777" w:rsidR="00A250E5" w:rsidRDefault="00A250E5" w:rsidP="00A250E5">
      <w:pPr>
        <w:pStyle w:val="20"/>
        <w:spacing w:after="200"/>
        <w:rPr>
          <w:highlight w:val="yellow"/>
        </w:rPr>
      </w:pPr>
    </w:p>
    <w:p w14:paraId="7422CF4D" w14:textId="77777777" w:rsidR="00DC69F1" w:rsidRPr="00476853" w:rsidRDefault="00DC69F1" w:rsidP="00DC69F1">
      <w:pPr>
        <w:pStyle w:val="2"/>
        <w:ind w:left="-810" w:firstLine="810"/>
        <w:rPr>
          <w:i w:val="0"/>
          <w:sz w:val="24"/>
          <w:szCs w:val="24"/>
        </w:rPr>
      </w:pPr>
      <w:r w:rsidRPr="00476853">
        <w:rPr>
          <w:i w:val="0"/>
          <w:sz w:val="24"/>
          <w:szCs w:val="24"/>
        </w:rPr>
        <w:t>Overview</w:t>
      </w:r>
    </w:p>
    <w:p w14:paraId="7677AABD" w14:textId="0DB57FEA" w:rsidR="002850EB" w:rsidRDefault="00DE66F5" w:rsidP="002850EB">
      <w:pPr>
        <w:pStyle w:val="20"/>
        <w:spacing w:after="200"/>
      </w:pPr>
      <w:r w:rsidRPr="00DE66F5">
        <w:t xml:space="preserve">Although climate change is a long-term problem, it is important to understand the current situation in order to respond to the question of what policy measures should be taken now from a </w:t>
      </w:r>
      <w:r w:rsidR="00AD4428" w:rsidRPr="00DE66F5">
        <w:t>shorter-term</w:t>
      </w:r>
      <w:r w:rsidRPr="00DE66F5">
        <w:t xml:space="preserve"> perspective.</w:t>
      </w:r>
      <w:r w:rsidR="002850EB">
        <w:t xml:space="preserve"> </w:t>
      </w:r>
      <w:r w:rsidR="002850EB" w:rsidRPr="002850EB">
        <w:t>It is important to understand how and why the energy consumption has changed</w:t>
      </w:r>
      <w:r w:rsidR="00442940">
        <w:t xml:space="preserve"> in </w:t>
      </w:r>
      <w:r w:rsidR="00442940" w:rsidRPr="00442940">
        <w:t>energy-intensive industries</w:t>
      </w:r>
      <w:r w:rsidR="002850EB" w:rsidRPr="002850EB">
        <w:t>.</w:t>
      </w:r>
    </w:p>
    <w:p w14:paraId="67DE18E8" w14:textId="77777777" w:rsidR="002850EB" w:rsidRDefault="00CD0EA6" w:rsidP="002850EB">
      <w:pPr>
        <w:pStyle w:val="20"/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D4445" wp14:editId="5DCAEF01">
                <wp:simplePos x="0" y="0"/>
                <wp:positionH relativeFrom="column">
                  <wp:posOffset>-234950</wp:posOffset>
                </wp:positionH>
                <wp:positionV relativeFrom="paragraph">
                  <wp:posOffset>818515</wp:posOffset>
                </wp:positionV>
                <wp:extent cx="6477000" cy="260985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ABC72" w14:textId="44BFD86D" w:rsidR="00CD0EA6" w:rsidRDefault="005D239B" w:rsidP="00CD0EA6">
                            <w:pPr>
                              <w:jc w:val="center"/>
                            </w:pPr>
                            <w:r w:rsidRPr="005D239B">
                              <w:rPr>
                                <w:noProof/>
                              </w:rPr>
                              <w:drawing>
                                <wp:inline distT="0" distB="0" distL="0" distR="0" wp14:anchorId="56B3623D" wp14:editId="712D01FB">
                                  <wp:extent cx="6049440" cy="2284920"/>
                                  <wp:effectExtent l="0" t="0" r="8890" b="127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21" t="1397" r="5272" b="195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49440" cy="2284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7C503C" w14:textId="77777777" w:rsidR="00CD0EA6" w:rsidRDefault="00CD0EA6" w:rsidP="00CD0EA6">
                            <w:pPr>
                              <w:jc w:val="center"/>
                            </w:pPr>
                            <w:r w:rsidRPr="00DE66F5">
                              <w:t>Figure 1</w:t>
                            </w:r>
                            <w:r w:rsidR="00551345">
                              <w:t>.</w:t>
                            </w:r>
                            <w:r>
                              <w:t xml:space="preserve">  </w:t>
                            </w:r>
                            <w:r w:rsidR="00C66ABE" w:rsidRPr="00C66ABE">
                              <w:t>Industrial sector energy consumption in Japan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D44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5pt;margin-top:64.45pt;width:510pt;height:2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" fillcolor="white [3201]" stroked="f" strokeweight=".5pt">
                <v:textbox>
                  <w:txbxContent>
                    <w:p w14:paraId="67DABC72" w14:textId="44BFD86D" w:rsidR="00CD0EA6" w:rsidRDefault="005D239B" w:rsidP="00CD0EA6">
                      <w:pPr>
                        <w:jc w:val="center"/>
                      </w:pPr>
                      <w:r w:rsidRPr="005D239B">
                        <w:rPr>
                          <w:noProof/>
                        </w:rPr>
                        <w:drawing>
                          <wp:inline distT="0" distB="0" distL="0" distR="0" wp14:anchorId="56B3623D" wp14:editId="712D01FB">
                            <wp:extent cx="6049440" cy="2284920"/>
                            <wp:effectExtent l="0" t="0" r="8890" b="127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21" t="1397" r="5272" b="195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49440" cy="2284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7C503C" w14:textId="77777777" w:rsidR="00CD0EA6" w:rsidRDefault="00CD0EA6" w:rsidP="00CD0EA6">
                      <w:pPr>
                        <w:jc w:val="center"/>
                      </w:pPr>
                      <w:r w:rsidRPr="00DE66F5">
                        <w:t>Figure 1</w:t>
                      </w:r>
                      <w:r w:rsidR="00551345">
                        <w:t>.</w:t>
                      </w:r>
                      <w:r>
                        <w:t xml:space="preserve">  </w:t>
                      </w:r>
                      <w:r w:rsidR="00C66ABE" w:rsidRPr="00C66ABE">
                        <w:t>Industrial sector energy consumption in Japan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6F5" w:rsidRPr="00DE66F5">
        <w:t xml:space="preserve">Based on the above problem awareness, this paper focuses on energy intensity (GJ/t) of basic materials industry in Japan. The subjects of analysis are </w:t>
      </w:r>
      <w:r w:rsidR="00DE66F5">
        <w:t xml:space="preserve">iron and </w:t>
      </w:r>
      <w:r w:rsidR="00DE66F5" w:rsidRPr="00DE66F5">
        <w:t>steel, non</w:t>
      </w:r>
      <w:r w:rsidR="00DE66F5">
        <w:t>-</w:t>
      </w:r>
      <w:r w:rsidR="00DE66F5" w:rsidRPr="00DE66F5">
        <w:t>ferrous metal, cement</w:t>
      </w:r>
      <w:r w:rsidR="00AD635E">
        <w:t>, and</w:t>
      </w:r>
      <w:r w:rsidR="00DE66F5" w:rsidRPr="00DE66F5">
        <w:t xml:space="preserve"> </w:t>
      </w:r>
      <w:r w:rsidR="00073BA8">
        <w:t xml:space="preserve">glass </w:t>
      </w:r>
      <w:r w:rsidR="00DE66F5" w:rsidRPr="00DE66F5">
        <w:t>sector</w:t>
      </w:r>
      <w:r w:rsidR="00DE66F5">
        <w:t>s</w:t>
      </w:r>
      <w:r w:rsidR="00DE66F5" w:rsidRPr="00DE66F5">
        <w:t xml:space="preserve">. The analysis period is mainly </w:t>
      </w:r>
      <w:r w:rsidR="00DE66F5">
        <w:t xml:space="preserve">from </w:t>
      </w:r>
      <w:r w:rsidR="00DE66F5" w:rsidRPr="00DE66F5">
        <w:t xml:space="preserve">2000 to 2016. As shown in Figure 1, the energy consumption of the Japanese industrial sector is on a downward trend. </w:t>
      </w:r>
      <w:r w:rsidR="00DE66F5">
        <w:t>The a</w:t>
      </w:r>
      <w:r w:rsidR="00DE66F5" w:rsidRPr="00DE66F5">
        <w:t>im of this paper is to clarify whether th</w:t>
      </w:r>
      <w:r w:rsidR="00C66ABE">
        <w:t>e trend</w:t>
      </w:r>
      <w:r w:rsidR="00DE66F5" w:rsidRPr="00DE66F5">
        <w:t xml:space="preserve"> is mainly a production factor or an energy intensity factor.</w:t>
      </w:r>
    </w:p>
    <w:p w14:paraId="4E6E6D0C" w14:textId="77777777" w:rsidR="00DC69F1" w:rsidRPr="00D767DA" w:rsidRDefault="00DC69F1">
      <w:pPr>
        <w:pStyle w:val="2"/>
        <w:rPr>
          <w:i w:val="0"/>
          <w:sz w:val="24"/>
          <w:szCs w:val="24"/>
        </w:rPr>
      </w:pPr>
      <w:r w:rsidRPr="00D767DA">
        <w:rPr>
          <w:i w:val="0"/>
          <w:sz w:val="24"/>
          <w:szCs w:val="24"/>
        </w:rPr>
        <w:t>Methods</w:t>
      </w:r>
    </w:p>
    <w:p w14:paraId="7D5A4D5B" w14:textId="37984A1A" w:rsidR="00DC69F1" w:rsidRPr="00A247C7" w:rsidRDefault="00C66ABE" w:rsidP="00C66ABE">
      <w:pPr>
        <w:pStyle w:val="20"/>
        <w:spacing w:after="200"/>
        <w:rPr>
          <w:i/>
        </w:rPr>
      </w:pPr>
      <w:r w:rsidRPr="00C66ABE">
        <w:t xml:space="preserve">In terms of production data, we referred to </w:t>
      </w:r>
      <w:r>
        <w:t xml:space="preserve">Japanese </w:t>
      </w:r>
      <w:r w:rsidRPr="00C66ABE">
        <w:t>government statistics</w:t>
      </w:r>
      <w:r>
        <w:t>, e.g., METI</w:t>
      </w:r>
      <w:r w:rsidR="00E23E3D">
        <w:t xml:space="preserve"> (</w:t>
      </w:r>
      <w:r>
        <w:t>2017c</w:t>
      </w:r>
      <w:r w:rsidR="00E23E3D">
        <w:t>)</w:t>
      </w:r>
      <w:r>
        <w:t>,</w:t>
      </w:r>
      <w:r w:rsidRPr="00C66ABE">
        <w:t xml:space="preserve"> and </w:t>
      </w:r>
      <w:r>
        <w:t>other domestic</w:t>
      </w:r>
      <w:r w:rsidRPr="00C66ABE">
        <w:t xml:space="preserve"> statistics</w:t>
      </w:r>
      <w:r>
        <w:t xml:space="preserve"> e.g., Cement Press</w:t>
      </w:r>
      <w:r w:rsidR="00E23E3D">
        <w:t xml:space="preserve"> (</w:t>
      </w:r>
      <w:r>
        <w:t>2017</w:t>
      </w:r>
      <w:r w:rsidR="00E23E3D">
        <w:t>)</w:t>
      </w:r>
      <w:r>
        <w:t xml:space="preserve">, and </w:t>
      </w:r>
      <w:r w:rsidRPr="00C66ABE">
        <w:t>JISF</w:t>
      </w:r>
      <w:r w:rsidR="00E23E3D">
        <w:t xml:space="preserve"> (</w:t>
      </w:r>
      <w:r w:rsidRPr="00C66ABE">
        <w:t>2017</w:t>
      </w:r>
      <w:r w:rsidR="00E23E3D">
        <w:t>)</w:t>
      </w:r>
      <w:r w:rsidRPr="00C66ABE">
        <w:t>.</w:t>
      </w:r>
      <w:r>
        <w:t xml:space="preserve"> </w:t>
      </w:r>
      <w:r w:rsidRPr="00C66ABE">
        <w:t xml:space="preserve">In terms of </w:t>
      </w:r>
      <w:r w:rsidR="006D6381">
        <w:t>energy consumption</w:t>
      </w:r>
      <w:r w:rsidRPr="00C66ABE">
        <w:t xml:space="preserve"> data, we referred to</w:t>
      </w:r>
      <w:r>
        <w:t xml:space="preserve"> METI (2017a, b). Energy intensity (GJ/t) is </w:t>
      </w:r>
      <w:r w:rsidR="00AD4428">
        <w:t>calculated</w:t>
      </w:r>
      <w:r>
        <w:t xml:space="preserve"> by </w:t>
      </w:r>
      <w:r w:rsidRPr="00C66ABE">
        <w:t>dividing energy consumption by production volume.</w:t>
      </w:r>
      <w:r w:rsidR="00EF4C6C">
        <w:t xml:space="preserve"> We also </w:t>
      </w:r>
      <w:r w:rsidR="00357472">
        <w:t>estimated</w:t>
      </w:r>
      <w:r w:rsidR="00EF4C6C">
        <w:t xml:space="preserve"> </w:t>
      </w:r>
      <w:r w:rsidR="00EF4C6C" w:rsidRPr="00EF4C6C">
        <w:t xml:space="preserve">yearly </w:t>
      </w:r>
      <w:r w:rsidR="00EF4C6C">
        <w:t xml:space="preserve">capacity factor </w:t>
      </w:r>
      <w:r w:rsidR="00357472">
        <w:t xml:space="preserve">and its impact on energy intensity </w:t>
      </w:r>
      <w:r w:rsidR="00EF4C6C">
        <w:t>in iron and steel, and cement sectors</w:t>
      </w:r>
      <w:r w:rsidR="00357472">
        <w:t xml:space="preserve"> based on Oda et al. </w:t>
      </w:r>
      <w:r w:rsidR="006D6381">
        <w:t>(</w:t>
      </w:r>
      <w:r w:rsidR="00357472">
        <w:t>2016</w:t>
      </w:r>
      <w:r w:rsidR="006D6381">
        <w:t>)</w:t>
      </w:r>
      <w:r w:rsidR="00357472">
        <w:t>.</w:t>
      </w:r>
    </w:p>
    <w:p w14:paraId="0C56A0C3" w14:textId="77777777" w:rsidR="00DC69F1" w:rsidRPr="00D767DA" w:rsidRDefault="00DC69F1" w:rsidP="00DC69F1">
      <w:pPr>
        <w:pStyle w:val="2"/>
        <w:rPr>
          <w:i w:val="0"/>
          <w:sz w:val="24"/>
          <w:szCs w:val="24"/>
        </w:rPr>
      </w:pPr>
      <w:r w:rsidRPr="00D767DA">
        <w:rPr>
          <w:i w:val="0"/>
          <w:sz w:val="24"/>
          <w:szCs w:val="24"/>
        </w:rPr>
        <w:t>Results</w:t>
      </w:r>
      <w:r w:rsidR="00950B7E">
        <w:rPr>
          <w:i w:val="0"/>
          <w:sz w:val="24"/>
          <w:szCs w:val="24"/>
        </w:rPr>
        <w:t xml:space="preserve"> (selected)</w:t>
      </w:r>
    </w:p>
    <w:p w14:paraId="72620053" w14:textId="58133D4E" w:rsidR="00C66ABE" w:rsidRDefault="00BD740E" w:rsidP="00BD740E">
      <w:pPr>
        <w:pStyle w:val="20"/>
        <w:spacing w:after="200"/>
        <w:rPr>
          <w:highlight w:val="yellow"/>
        </w:rPr>
      </w:pPr>
      <w:r w:rsidRPr="00DE66F5">
        <w:t xml:space="preserve">Figure </w:t>
      </w:r>
      <w:r>
        <w:t xml:space="preserve">2 </w:t>
      </w:r>
      <w:r w:rsidR="00442940">
        <w:t>show</w:t>
      </w:r>
      <w:r>
        <w:t xml:space="preserve">s the </w:t>
      </w:r>
      <w:r w:rsidR="00AD4428">
        <w:t>results</w:t>
      </w:r>
      <w:r>
        <w:t xml:space="preserve"> of iron and steel sector in Japan. The estimates (red line)</w:t>
      </w:r>
      <w:r w:rsidR="000510F9" w:rsidRPr="000510F9">
        <w:t xml:space="preserve"> </w:t>
      </w:r>
      <w:r w:rsidR="000510F9" w:rsidRPr="00F81F2B">
        <w:t>partially</w:t>
      </w:r>
      <w:r w:rsidR="000510F9">
        <w:t xml:space="preserve"> </w:t>
      </w:r>
      <w:r>
        <w:t xml:space="preserve">explain the primary energy intensity trajectory </w:t>
      </w:r>
      <w:r w:rsidR="006D6381">
        <w:t xml:space="preserve">(black line) </w:t>
      </w:r>
      <w:r>
        <w:t>from 2000 to 201</w:t>
      </w:r>
      <w:r w:rsidR="00F81F2B">
        <w:t>7</w:t>
      </w:r>
      <w:r>
        <w:t xml:space="preserve">. The estimates </w:t>
      </w:r>
      <w:r w:rsidRPr="00BD740E">
        <w:t>consist of</w:t>
      </w:r>
      <w:r>
        <w:t xml:space="preserve"> three factors: hot metal ratio (</w:t>
      </w:r>
      <w:r w:rsidRPr="00BD740E">
        <w:rPr>
          <w:i/>
        </w:rPr>
        <w:t>x</w:t>
      </w:r>
      <w:r w:rsidRPr="00F81F2B">
        <w:rPr>
          <w:vertAlign w:val="subscript"/>
        </w:rPr>
        <w:t>1</w:t>
      </w:r>
      <w:r>
        <w:t>), steel product mix (</w:t>
      </w:r>
      <w:r w:rsidRPr="00BD740E">
        <w:rPr>
          <w:i/>
        </w:rPr>
        <w:t>x</w:t>
      </w:r>
      <w:r w:rsidRPr="00F81F2B">
        <w:rPr>
          <w:vertAlign w:val="subscript"/>
        </w:rPr>
        <w:t>2</w:t>
      </w:r>
      <w:r>
        <w:t>), and capacity factor (</w:t>
      </w:r>
      <w:r w:rsidRPr="00BD740E">
        <w:rPr>
          <w:i/>
        </w:rPr>
        <w:t>x</w:t>
      </w:r>
      <w:r w:rsidRPr="00F81F2B">
        <w:rPr>
          <w:vertAlign w:val="subscript"/>
        </w:rPr>
        <w:t>3</w:t>
      </w:r>
      <w:r>
        <w:t>).</w:t>
      </w:r>
      <w:r w:rsidR="00442940">
        <w:t xml:space="preserve"> Figure 2 reveals that capacity factor had a large impact on energy intensity </w:t>
      </w:r>
      <w:r w:rsidR="00442940" w:rsidRPr="00442940">
        <w:t>in the short term, for example, the change from 2008 to 2009</w:t>
      </w:r>
      <w:r w:rsidR="00A32B4A">
        <w:t>, which</w:t>
      </w:r>
      <w:r w:rsidR="00442940">
        <w:t xml:space="preserve"> makes it more difficult to detect long-term </w:t>
      </w:r>
      <w:r w:rsidR="00A32B4A">
        <w:t xml:space="preserve">trends in </w:t>
      </w:r>
      <w:r w:rsidR="00442940">
        <w:t>energy intensity.</w:t>
      </w:r>
    </w:p>
    <w:p w14:paraId="6154D71D" w14:textId="200E90C0" w:rsidR="00551345" w:rsidRDefault="00F81F2B" w:rsidP="00DC69F1">
      <w:pPr>
        <w:pStyle w:val="20"/>
        <w:spacing w:after="200"/>
        <w:rPr>
          <w:highlight w:val="yellow"/>
        </w:rPr>
      </w:pPr>
      <w:r w:rsidRPr="00DE66F5">
        <w:t xml:space="preserve">Figure </w:t>
      </w:r>
      <w:r>
        <w:t xml:space="preserve">3 indicates the </w:t>
      </w:r>
      <w:r w:rsidR="00AD4428">
        <w:t>results</w:t>
      </w:r>
      <w:r>
        <w:t xml:space="preserve"> of cement sector in Japan. The estimates </w:t>
      </w:r>
      <w:r w:rsidRPr="00F81F2B">
        <w:t>partially</w:t>
      </w:r>
      <w:r>
        <w:t xml:space="preserve"> </w:t>
      </w:r>
      <w:r w:rsidR="006D6381">
        <w:t xml:space="preserve">explain </w:t>
      </w:r>
      <w:r>
        <w:t xml:space="preserve">the primary energy intensity trajectory from 2000 to 2017. The estimates </w:t>
      </w:r>
      <w:r w:rsidRPr="00BD740E">
        <w:t>consist of</w:t>
      </w:r>
      <w:r>
        <w:t xml:space="preserve"> three factors: clinker </w:t>
      </w:r>
      <w:r w:rsidR="00551345">
        <w:t xml:space="preserve">to </w:t>
      </w:r>
      <w:r>
        <w:t>cement ratio (</w:t>
      </w:r>
      <w:r>
        <w:rPr>
          <w:i/>
        </w:rPr>
        <w:t>y</w:t>
      </w:r>
      <w:r w:rsidRPr="00F81F2B">
        <w:rPr>
          <w:vertAlign w:val="subscript"/>
        </w:rPr>
        <w:t>1</w:t>
      </w:r>
      <w:r>
        <w:t xml:space="preserve">), </w:t>
      </w:r>
      <w:r w:rsidR="00551345" w:rsidRPr="00551345">
        <w:t xml:space="preserve">waste </w:t>
      </w:r>
      <w:r w:rsidR="00551345">
        <w:t xml:space="preserve">and </w:t>
      </w:r>
      <w:r w:rsidR="00551345" w:rsidRPr="00551345">
        <w:t xml:space="preserve">by-products </w:t>
      </w:r>
      <w:r>
        <w:t>(</w:t>
      </w:r>
      <w:r>
        <w:rPr>
          <w:i/>
        </w:rPr>
        <w:t>y</w:t>
      </w:r>
      <w:r w:rsidRPr="00F81F2B">
        <w:rPr>
          <w:vertAlign w:val="subscript"/>
        </w:rPr>
        <w:t>2</w:t>
      </w:r>
      <w:r>
        <w:t>), and capacity factor (</w:t>
      </w:r>
      <w:r>
        <w:rPr>
          <w:i/>
        </w:rPr>
        <w:t>y</w:t>
      </w:r>
      <w:r w:rsidRPr="00F81F2B">
        <w:rPr>
          <w:vertAlign w:val="subscript"/>
        </w:rPr>
        <w:t>3</w:t>
      </w:r>
      <w:r>
        <w:t>).</w:t>
      </w:r>
      <w:r w:rsidR="00551345">
        <w:t xml:space="preserve"> E</w:t>
      </w:r>
      <w:r w:rsidR="00551345" w:rsidRPr="00551345">
        <w:t>xpanding the use of (wet) waste and by-products significantly affects the energy intensity</w:t>
      </w:r>
      <w:r w:rsidR="00551345">
        <w:t>, and the</w:t>
      </w:r>
      <w:r w:rsidR="00551345" w:rsidRPr="00551345">
        <w:t xml:space="preserve"> energy intensity</w:t>
      </w:r>
      <w:r w:rsidR="00551345">
        <w:t xml:space="preserve"> </w:t>
      </w:r>
      <w:r w:rsidR="00442940">
        <w:t xml:space="preserve">of cement sector </w:t>
      </w:r>
      <w:r w:rsidR="00551345">
        <w:t xml:space="preserve">was </w:t>
      </w:r>
      <w:r w:rsidR="00551345" w:rsidRPr="00551345">
        <w:t>deteriorating</w:t>
      </w:r>
      <w:r w:rsidR="00551345">
        <w:t xml:space="preserve"> after 2005.</w:t>
      </w:r>
    </w:p>
    <w:tbl>
      <w:tblPr>
        <w:tblStyle w:val="aa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4962"/>
      </w:tblGrid>
      <w:tr w:rsidR="00E23E3D" w14:paraId="4648A13E" w14:textId="77777777" w:rsidTr="00442940">
        <w:trPr>
          <w:trHeight w:val="4678"/>
        </w:trPr>
        <w:tc>
          <w:tcPr>
            <w:tcW w:w="4678" w:type="dxa"/>
          </w:tcPr>
          <w:p w14:paraId="0ECD607C" w14:textId="77777777" w:rsidR="00E23E3D" w:rsidRDefault="006E1028" w:rsidP="00E23E3D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3529AA7" wp14:editId="7E090595">
                  <wp:extent cx="2929518" cy="2497455"/>
                  <wp:effectExtent l="0" t="0" r="4445" b="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鉄図-英語3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4" b="-1"/>
                          <a:stretch/>
                        </pic:blipFill>
                        <pic:spPr bwMode="auto">
                          <a:xfrm>
                            <a:off x="0" y="0"/>
                            <a:ext cx="2930760" cy="2498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FB2C91" w14:textId="77777777" w:rsidR="00E23E3D" w:rsidRPr="00E23E3D" w:rsidRDefault="00E23E3D" w:rsidP="00E23E3D">
            <w:pPr>
              <w:jc w:val="center"/>
              <w:rPr>
                <w:highlight w:val="yellow"/>
              </w:rPr>
            </w:pPr>
            <w:r w:rsidRPr="00DE66F5">
              <w:t xml:space="preserve">Figure </w:t>
            </w: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.</w:t>
            </w:r>
            <w:r>
              <w:t xml:space="preserve">  Results of energy intensity of</w:t>
            </w:r>
            <w:r>
              <w:br/>
              <w:t xml:space="preserve">iron and steel sector </w:t>
            </w:r>
            <w:r w:rsidRPr="00C66ABE">
              <w:t>in Japan</w:t>
            </w:r>
            <w:r w:rsidR="006E1028">
              <w:t xml:space="preserve"> (base year: 2005)</w:t>
            </w:r>
          </w:p>
        </w:tc>
        <w:tc>
          <w:tcPr>
            <w:tcW w:w="4962" w:type="dxa"/>
          </w:tcPr>
          <w:p w14:paraId="79E9A75D" w14:textId="35E86796" w:rsidR="00E23E3D" w:rsidRDefault="006D6381" w:rsidP="00E23E3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DAA34F" wp14:editId="19082D95">
                  <wp:extent cx="2972160" cy="2494440"/>
                  <wp:effectExtent l="0" t="0" r="0" b="127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セメント図-英語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160" cy="249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C6A22F" w14:textId="77777777" w:rsidR="00E23E3D" w:rsidRPr="00E23E3D" w:rsidRDefault="00E23E3D" w:rsidP="00E23E3D">
            <w:pPr>
              <w:jc w:val="center"/>
              <w:rPr>
                <w:highlight w:val="yellow"/>
              </w:rPr>
            </w:pPr>
            <w:r w:rsidRPr="00DE66F5">
              <w:t xml:space="preserve">Figure </w:t>
            </w:r>
            <w:r>
              <w:rPr>
                <w:lang w:eastAsia="ja-JP"/>
              </w:rPr>
              <w:t>3.</w:t>
            </w:r>
            <w:r>
              <w:t xml:space="preserve">  Results of energy intensity of</w:t>
            </w:r>
            <w:r>
              <w:br/>
              <w:t xml:space="preserve">cement sector </w:t>
            </w:r>
            <w:r w:rsidRPr="00C66ABE">
              <w:t>in Japan</w:t>
            </w:r>
            <w:r w:rsidR="006E1028">
              <w:t xml:space="preserve"> (base year: 2005)</w:t>
            </w:r>
          </w:p>
        </w:tc>
      </w:tr>
    </w:tbl>
    <w:p w14:paraId="6B5E9BE4" w14:textId="77777777" w:rsidR="00DC69F1" w:rsidRPr="00D767DA" w:rsidRDefault="00E23E3D">
      <w:pPr>
        <w:pStyle w:val="2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Summary</w:t>
      </w:r>
    </w:p>
    <w:p w14:paraId="278F67E6" w14:textId="02275977" w:rsidR="00E23E3D" w:rsidRDefault="00E23E3D" w:rsidP="00DC69F1">
      <w:pPr>
        <w:pStyle w:val="20"/>
        <w:spacing w:after="200"/>
        <w:rPr>
          <w:lang w:eastAsia="ja-JP"/>
        </w:rPr>
      </w:pPr>
      <w:r w:rsidRPr="00E23E3D">
        <w:t xml:space="preserve">Based on various statistics, this paper </w:t>
      </w:r>
      <w:r w:rsidR="006D6381">
        <w:t xml:space="preserve">empirically </w:t>
      </w:r>
      <w:r w:rsidRPr="00E23E3D">
        <w:t>investigate</w:t>
      </w:r>
      <w:r w:rsidR="00DC02E4">
        <w:t>d</w:t>
      </w:r>
      <w:r w:rsidRPr="00E23E3D">
        <w:t xml:space="preserve"> energy intensity of iron and steel, non-ferrous metal, cement</w:t>
      </w:r>
      <w:r w:rsidR="006D6381">
        <w:t>, and glass</w:t>
      </w:r>
      <w:r w:rsidRPr="00E23E3D">
        <w:t xml:space="preserve"> sectors in Japan, and quantitatively and qualitatively examine</w:t>
      </w:r>
      <w:r w:rsidR="00DC02E4">
        <w:t>d</w:t>
      </w:r>
      <w:r w:rsidRPr="00E23E3D">
        <w:t xml:space="preserve"> the fluctuation factors of energy consumption. Table 1 summarizes the production volume, energy intensity, and energy consumption for the three sectors. As shown in Figure 1, energy consumption tend</w:t>
      </w:r>
      <w:r w:rsidR="00442940">
        <w:t>ed</w:t>
      </w:r>
      <w:r w:rsidRPr="00E23E3D">
        <w:t xml:space="preserve"> to decline, and the decrease in production amount in both three sectors </w:t>
      </w:r>
      <w:r w:rsidR="00442940">
        <w:t>was</w:t>
      </w:r>
      <w:r w:rsidRPr="00E23E3D">
        <w:t xml:space="preserve"> observed. While the energy intensity of the steel sector was improving, the energy intensity of non-ferrous metals and cement sectors was deteriorating. In </w:t>
      </w:r>
      <w:r w:rsidR="006D6381">
        <w:t xml:space="preserve">the </w:t>
      </w:r>
      <w:r w:rsidRPr="00E23E3D">
        <w:t>cement sector, expanding the use of (wet) waste and by-products affect</w:t>
      </w:r>
      <w:r w:rsidR="00DC02E4">
        <w:t>ed</w:t>
      </w:r>
      <w:r w:rsidRPr="00E23E3D">
        <w:t xml:space="preserve"> the trend </w:t>
      </w:r>
      <w:r w:rsidR="00A32B4A">
        <w:t>in</w:t>
      </w:r>
      <w:r w:rsidRPr="00E23E3D">
        <w:t xml:space="preserve"> energy intensity. Capacity factor also ha</w:t>
      </w:r>
      <w:r w:rsidR="00DC02E4">
        <w:t>d</w:t>
      </w:r>
      <w:r w:rsidRPr="00E23E3D">
        <w:t xml:space="preserve"> a large impact on energy intensity.</w:t>
      </w:r>
    </w:p>
    <w:p w14:paraId="4391B5F3" w14:textId="77777777" w:rsidR="00E23E3D" w:rsidRPr="00B1241B" w:rsidRDefault="00E23E3D" w:rsidP="00DC69F1">
      <w:pPr>
        <w:pStyle w:val="20"/>
        <w:spacing w:after="200"/>
        <w:rPr>
          <w:lang w:eastAsia="ja-JP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0F2A6" wp14:editId="4E2294D2">
                <wp:simplePos x="0" y="0"/>
                <wp:positionH relativeFrom="column">
                  <wp:posOffset>-133350</wp:posOffset>
                </wp:positionH>
                <wp:positionV relativeFrom="paragraph">
                  <wp:posOffset>417195</wp:posOffset>
                </wp:positionV>
                <wp:extent cx="6311900" cy="1657350"/>
                <wp:effectExtent l="0" t="0" r="0" b="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A0E14B" w14:textId="3C1D7EBC" w:rsidR="00CB74D6" w:rsidRPr="00260A22" w:rsidRDefault="00CB74D6" w:rsidP="00613F99">
                            <w:pPr>
                              <w:spacing w:afterLines="20" w:after="48" w:line="240" w:lineRule="exact"/>
                              <w:jc w:val="center"/>
                              <w:rPr>
                                <w:b/>
                                <w:lang w:eastAsia="ja-JP"/>
                              </w:rPr>
                            </w:pPr>
                            <w:r w:rsidRPr="00260A22">
                              <w:t xml:space="preserve">Table </w:t>
                            </w:r>
                            <w:r w:rsidRPr="00260A22">
                              <w:rPr>
                                <w:b/>
                              </w:rPr>
                              <w:fldChar w:fldCharType="begin"/>
                            </w:r>
                            <w:r w:rsidRPr="00260A22">
                              <w:instrText xml:space="preserve"> SEQ Table \* ARABIC </w:instrText>
                            </w:r>
                            <w:r w:rsidRPr="00260A22">
                              <w:rPr>
                                <w:b/>
                              </w:rPr>
                              <w:fldChar w:fldCharType="separate"/>
                            </w:r>
                            <w:r w:rsidR="0012321E">
                              <w:rPr>
                                <w:noProof/>
                              </w:rPr>
                              <w:t>1</w:t>
                            </w:r>
                            <w:r w:rsidRPr="00260A22">
                              <w:rPr>
                                <w:b/>
                              </w:rPr>
                              <w:fldChar w:fldCharType="end"/>
                            </w:r>
                            <w:r w:rsidRPr="00260A22">
                              <w:rPr>
                                <w:lang w:eastAsia="ja-JP"/>
                              </w:rPr>
                              <w:t xml:space="preserve">. </w:t>
                            </w:r>
                            <w:r w:rsidR="00E23E3D">
                              <w:t xml:space="preserve">Summary of iron and steel, </w:t>
                            </w:r>
                            <w:r w:rsidR="00E23E3D" w:rsidRPr="00E23E3D">
                              <w:t>non-ferrous metal</w:t>
                            </w:r>
                            <w:r w:rsidR="00E23E3D">
                              <w:t>, and cement sectors in Japan</w:t>
                            </w:r>
                          </w:p>
                          <w:tbl>
                            <w:tblPr>
                              <w:tblStyle w:val="10"/>
                              <w:tblW w:w="8856" w:type="dxa"/>
                              <w:jc w:val="center"/>
                              <w:tblCellMar>
                                <w:left w:w="28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28"/>
                              <w:gridCol w:w="1741"/>
                              <w:gridCol w:w="1928"/>
                              <w:gridCol w:w="1559"/>
                            </w:tblGrid>
                            <w:tr w:rsidR="00CB74D6" w:rsidRPr="006D6381" w14:paraId="2E0F3B35" w14:textId="77777777" w:rsidTr="006D638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8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28" w:type="dxa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EFE4A4" w14:textId="77777777" w:rsidR="00CB74D6" w:rsidRPr="006D6381" w:rsidRDefault="00CB74D6" w:rsidP="00CB74D6">
                                  <w:pPr>
                                    <w:jc w:val="center"/>
                                    <w:rPr>
                                      <w:i w:val="0"/>
                                      <w:noProof/>
                                      <w:lang w:val="en-US"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F236515" w14:textId="77777777" w:rsidR="00CB74D6" w:rsidRPr="006D6381" w:rsidRDefault="00CB74D6" w:rsidP="00CB74D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 w:val="0"/>
                                      <w:noProof/>
                                      <w:lang w:val="en-US" w:eastAsia="ja-JP"/>
                                    </w:rPr>
                                  </w:pPr>
                                  <w:r w:rsidRPr="006D6381">
                                    <w:rPr>
                                      <w:rFonts w:hint="eastAsia"/>
                                      <w:i w:val="0"/>
                                      <w:noProof/>
                                      <w:lang w:val="en-US" w:eastAsia="ja-JP"/>
                                    </w:rPr>
                                    <w:t>P</w:t>
                                  </w:r>
                                  <w:r w:rsidRPr="006D6381">
                                    <w:rPr>
                                      <w:i w:val="0"/>
                                      <w:noProof/>
                                      <w:lang w:val="en-US" w:eastAsia="ja-JP"/>
                                    </w:rPr>
                                    <w:t>roduction volume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BE9B9FC" w14:textId="77777777" w:rsidR="00CB74D6" w:rsidRPr="006D6381" w:rsidRDefault="00CB74D6" w:rsidP="00CB74D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 w:val="0"/>
                                      <w:noProof/>
                                      <w:lang w:val="en-US" w:eastAsia="ja-JP"/>
                                    </w:rPr>
                                  </w:pPr>
                                  <w:r w:rsidRPr="006D6381">
                                    <w:rPr>
                                      <w:rFonts w:hint="eastAsia"/>
                                      <w:i w:val="0"/>
                                      <w:noProof/>
                                      <w:lang w:val="en-US" w:eastAsia="ja-JP"/>
                                    </w:rPr>
                                    <w:t>E</w:t>
                                  </w:r>
                                  <w:r w:rsidRPr="006D6381">
                                    <w:rPr>
                                      <w:i w:val="0"/>
                                      <w:noProof/>
                                      <w:lang w:val="en-US" w:eastAsia="ja-JP"/>
                                    </w:rPr>
                                    <w:t>nergy intensity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090CCD7" w14:textId="77777777" w:rsidR="00CB74D6" w:rsidRPr="006D6381" w:rsidRDefault="00CB74D6" w:rsidP="00CB74D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 w:val="0"/>
                                      <w:noProof/>
                                      <w:lang w:val="en-US" w:eastAsia="ja-JP"/>
                                    </w:rPr>
                                  </w:pPr>
                                  <w:r w:rsidRPr="006D6381">
                                    <w:rPr>
                                      <w:rFonts w:hint="eastAsia"/>
                                      <w:i w:val="0"/>
                                      <w:noProof/>
                                      <w:lang w:val="en-US" w:eastAsia="ja-JP"/>
                                    </w:rPr>
                                    <w:t>E</w:t>
                                  </w:r>
                                  <w:r w:rsidRPr="006D6381">
                                    <w:rPr>
                                      <w:i w:val="0"/>
                                      <w:noProof/>
                                      <w:lang w:val="en-US" w:eastAsia="ja-JP"/>
                                    </w:rPr>
                                    <w:t>nergy consumption</w:t>
                                  </w:r>
                                </w:p>
                              </w:tc>
                            </w:tr>
                            <w:tr w:rsidR="00CB74D6" w:rsidRPr="006D6381" w14:paraId="625A585A" w14:textId="77777777" w:rsidTr="006D638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2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5F37B3" w14:textId="77777777" w:rsidR="00CB74D6" w:rsidRPr="006D6381" w:rsidRDefault="00CB74D6" w:rsidP="00CB74D6">
                                  <w:pPr>
                                    <w:jc w:val="center"/>
                                    <w:rPr>
                                      <w:noProof/>
                                      <w:lang w:val="en-US" w:eastAsia="ja-JP"/>
                                    </w:rPr>
                                  </w:pPr>
                                  <w:r w:rsidRPr="006D6381">
                                    <w:rPr>
                                      <w:noProof/>
                                      <w:lang w:val="en-US" w:eastAsia="ja-JP"/>
                                    </w:rPr>
                                    <w:t>Iron and steel (from 2000 to 2016)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4E88087" w14:textId="77777777" w:rsidR="00CB74D6" w:rsidRPr="006D6381" w:rsidRDefault="00CB74D6" w:rsidP="00CB74D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noProof/>
                                      <w:lang w:val="en-US" w:eastAsia="ja-JP"/>
                                    </w:rPr>
                                  </w:pPr>
                                  <w:r w:rsidRPr="006D6381">
                                    <w:rPr>
                                      <w:rFonts w:hint="eastAsia"/>
                                      <w:noProof/>
                                      <w:lang w:val="en-US" w:eastAsia="ja-JP"/>
                                    </w:rPr>
                                    <w:t>-</w:t>
                                  </w:r>
                                  <w:r w:rsidRPr="006D6381">
                                    <w:rPr>
                                      <w:noProof/>
                                      <w:lang w:val="en-US" w:eastAsia="ja-JP"/>
                                    </w:rPr>
                                    <w:t>1.6</w:t>
                                  </w:r>
                                  <w:r w:rsidRPr="006D6381">
                                    <w:rPr>
                                      <w:rFonts w:hint="eastAsia"/>
                                      <w:noProof/>
                                      <w:lang w:val="en-US" w:eastAsia="ja-JP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697A538" w14:textId="77777777" w:rsidR="00CB74D6" w:rsidRPr="006D6381" w:rsidRDefault="00CB74D6" w:rsidP="00CB74D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noProof/>
                                      <w:lang w:val="en-US" w:eastAsia="ja-JP"/>
                                    </w:rPr>
                                  </w:pPr>
                                  <w:r w:rsidRPr="006D6381">
                                    <w:rPr>
                                      <w:rFonts w:hint="eastAsia"/>
                                      <w:noProof/>
                                      <w:lang w:val="en-US" w:eastAsia="ja-JP"/>
                                    </w:rPr>
                                    <w:t>-</w:t>
                                  </w:r>
                                  <w:r w:rsidRPr="006D6381">
                                    <w:rPr>
                                      <w:noProof/>
                                      <w:lang w:val="en-US" w:eastAsia="ja-JP"/>
                                    </w:rPr>
                                    <w:t>1.2%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2AA17A8" w14:textId="77777777" w:rsidR="00CB74D6" w:rsidRPr="006D6381" w:rsidRDefault="00CB74D6" w:rsidP="00CB74D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noProof/>
                                      <w:lang w:val="en-US" w:eastAsia="ja-JP"/>
                                    </w:rPr>
                                  </w:pPr>
                                  <w:r w:rsidRPr="006D6381">
                                    <w:rPr>
                                      <w:rFonts w:hint="eastAsia"/>
                                      <w:noProof/>
                                      <w:lang w:val="en-US" w:eastAsia="ja-JP"/>
                                    </w:rPr>
                                    <w:t>-</w:t>
                                  </w:r>
                                  <w:r w:rsidRPr="006D6381">
                                    <w:rPr>
                                      <w:noProof/>
                                      <w:lang w:val="en-US" w:eastAsia="ja-JP"/>
                                    </w:rPr>
                                    <w:t>2.8%</w:t>
                                  </w:r>
                                </w:p>
                              </w:tc>
                            </w:tr>
                            <w:tr w:rsidR="00CB74D6" w:rsidRPr="006D6381" w14:paraId="04C20336" w14:textId="77777777" w:rsidTr="006D638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2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FC6A1C" w14:textId="77777777" w:rsidR="00CB74D6" w:rsidRPr="006D6381" w:rsidRDefault="00CB74D6" w:rsidP="00CB74D6">
                                  <w:pPr>
                                    <w:jc w:val="center"/>
                                    <w:rPr>
                                      <w:noProof/>
                                      <w:lang w:val="en-US" w:eastAsia="ja-JP"/>
                                    </w:rPr>
                                  </w:pPr>
                                  <w:r w:rsidRPr="006D6381">
                                    <w:rPr>
                                      <w:noProof/>
                                      <w:lang w:val="en-US" w:eastAsia="ja-JP"/>
                                    </w:rPr>
                                    <w:t>Non-ferrous metal (from 2010 to 2016)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47F7FD9" w14:textId="77777777" w:rsidR="00CB74D6" w:rsidRPr="006D6381" w:rsidRDefault="00CB74D6" w:rsidP="00CB74D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noProof/>
                                      <w:lang w:val="en-US" w:eastAsia="ja-JP"/>
                                    </w:rPr>
                                  </w:pPr>
                                  <w:r w:rsidRPr="006D6381">
                                    <w:rPr>
                                      <w:rFonts w:hint="eastAsia"/>
                                      <w:noProof/>
                                      <w:lang w:val="en-US" w:eastAsia="ja-JP"/>
                                    </w:rPr>
                                    <w:t>-</w:t>
                                  </w:r>
                                  <w:r w:rsidRPr="006D6381">
                                    <w:rPr>
                                      <w:noProof/>
                                      <w:lang w:val="en-US" w:eastAsia="ja-JP"/>
                                    </w:rPr>
                                    <w:t>14%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A589334" w14:textId="77777777" w:rsidR="00CB74D6" w:rsidRPr="006D6381" w:rsidRDefault="00CB74D6" w:rsidP="00CB74D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noProof/>
                                      <w:lang w:val="en-US" w:eastAsia="ja-JP"/>
                                    </w:rPr>
                                  </w:pPr>
                                  <w:r w:rsidRPr="006D6381">
                                    <w:rPr>
                                      <w:rFonts w:hint="eastAsia"/>
                                      <w:noProof/>
                                      <w:lang w:val="en-US" w:eastAsia="ja-JP"/>
                                    </w:rPr>
                                    <w:t>+</w:t>
                                  </w:r>
                                  <w:r w:rsidRPr="006D6381">
                                    <w:rPr>
                                      <w:noProof/>
                                      <w:lang w:val="en-US" w:eastAsia="ja-JP"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1416F9" w14:textId="77777777" w:rsidR="00CB74D6" w:rsidRPr="006D6381" w:rsidRDefault="00CB74D6" w:rsidP="00CB74D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noProof/>
                                      <w:lang w:val="en-US" w:eastAsia="ja-JP"/>
                                    </w:rPr>
                                  </w:pPr>
                                  <w:r w:rsidRPr="006D6381">
                                    <w:rPr>
                                      <w:rFonts w:hint="eastAsia"/>
                                      <w:noProof/>
                                      <w:lang w:val="en-US" w:eastAsia="ja-JP"/>
                                    </w:rPr>
                                    <w:t>-</w:t>
                                  </w:r>
                                  <w:r w:rsidRPr="006D6381">
                                    <w:rPr>
                                      <w:noProof/>
                                      <w:lang w:val="en-US" w:eastAsia="ja-JP"/>
                                    </w:rPr>
                                    <w:t>9%</w:t>
                                  </w:r>
                                </w:p>
                              </w:tc>
                            </w:tr>
                            <w:tr w:rsidR="00CB74D6" w:rsidRPr="006D6381" w14:paraId="0C9FB4AE" w14:textId="77777777" w:rsidTr="006D638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2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01DD4D" w14:textId="77777777" w:rsidR="00CB74D6" w:rsidRPr="006D6381" w:rsidRDefault="00CB74D6" w:rsidP="00CB74D6">
                                  <w:pPr>
                                    <w:jc w:val="center"/>
                                    <w:rPr>
                                      <w:noProof/>
                                      <w:lang w:val="en-US" w:eastAsia="ja-JP"/>
                                    </w:rPr>
                                  </w:pPr>
                                  <w:r w:rsidRPr="006D6381">
                                    <w:rPr>
                                      <w:noProof/>
                                      <w:lang w:val="en-US" w:eastAsia="ja-JP"/>
                                    </w:rPr>
                                    <w:t>Cement (from 2000 to 2016)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3C938CAB" w14:textId="77777777" w:rsidR="00CB74D6" w:rsidRPr="006D6381" w:rsidRDefault="00CB74D6" w:rsidP="00CB74D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noProof/>
                                      <w:lang w:val="en-US" w:eastAsia="ja-JP"/>
                                    </w:rPr>
                                  </w:pPr>
                                  <w:r w:rsidRPr="006D6381">
                                    <w:rPr>
                                      <w:rFonts w:hint="eastAsia"/>
                                      <w:noProof/>
                                      <w:lang w:val="en-US" w:eastAsia="ja-JP"/>
                                    </w:rPr>
                                    <w:t>-</w:t>
                                  </w:r>
                                  <w:r w:rsidRPr="006D6381">
                                    <w:rPr>
                                      <w:noProof/>
                                      <w:lang w:val="en-US" w:eastAsia="ja-JP"/>
                                    </w:rPr>
                                    <w:t>29.2%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038850B8" w14:textId="77777777" w:rsidR="00CB74D6" w:rsidRPr="006D6381" w:rsidRDefault="00CB74D6" w:rsidP="00CB74D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noProof/>
                                      <w:lang w:val="en-US" w:eastAsia="ja-JP"/>
                                    </w:rPr>
                                  </w:pPr>
                                  <w:r w:rsidRPr="006D6381">
                                    <w:rPr>
                                      <w:rFonts w:hint="eastAsia"/>
                                      <w:noProof/>
                                      <w:lang w:val="en-US" w:eastAsia="ja-JP"/>
                                    </w:rPr>
                                    <w:t>+</w:t>
                                  </w:r>
                                  <w:r w:rsidRPr="006D6381">
                                    <w:rPr>
                                      <w:noProof/>
                                      <w:lang w:val="en-US" w:eastAsia="ja-JP"/>
                                    </w:rPr>
                                    <w:t>7.2%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1F8D5918" w14:textId="77777777" w:rsidR="00CB74D6" w:rsidRPr="006D6381" w:rsidRDefault="00CB74D6" w:rsidP="00CB74D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noProof/>
                                      <w:lang w:val="en-US" w:eastAsia="ja-JP"/>
                                    </w:rPr>
                                  </w:pPr>
                                  <w:r w:rsidRPr="006D6381">
                                    <w:rPr>
                                      <w:rFonts w:hint="eastAsia"/>
                                      <w:noProof/>
                                      <w:lang w:val="en-US" w:eastAsia="ja-JP"/>
                                    </w:rPr>
                                    <w:t>-</w:t>
                                  </w:r>
                                  <w:r w:rsidRPr="006D6381">
                                    <w:rPr>
                                      <w:noProof/>
                                      <w:lang w:val="en-US" w:eastAsia="ja-JP"/>
                                    </w:rPr>
                                    <w:t>24.1%</w:t>
                                  </w:r>
                                </w:p>
                              </w:tc>
                            </w:tr>
                          </w:tbl>
                          <w:p w14:paraId="65E32B36" w14:textId="298D65CF" w:rsidR="00E23E3D" w:rsidRPr="006D6381" w:rsidRDefault="00CB74D6" w:rsidP="006D6381">
                            <w:pPr>
                              <w:spacing w:after="200"/>
                              <w:ind w:leftChars="142" w:left="566" w:hangingChars="141" w:hanging="282"/>
                            </w:pPr>
                            <w:r w:rsidRPr="006D6381">
                              <w:rPr>
                                <w:noProof/>
                                <w:lang w:eastAsia="ja-JP"/>
                              </w:rPr>
                              <w:t xml:space="preserve">Note) In non-ferrous metal sector, production volume and energy intensity </w:t>
                            </w:r>
                            <w:r w:rsidR="00AD4428" w:rsidRPr="006D6381">
                              <w:rPr>
                                <w:noProof/>
                                <w:lang w:eastAsia="ja-JP"/>
                              </w:rPr>
                              <w:t xml:space="preserve">mean </w:t>
                            </w:r>
                            <w:r w:rsidR="00DC02E4" w:rsidRPr="00DC02E4">
                              <w:rPr>
                                <w:noProof/>
                                <w:lang w:eastAsia="ja-JP"/>
                              </w:rPr>
                              <w:t>a weighted average of</w:t>
                            </w:r>
                            <w:r w:rsidR="00AD4428" w:rsidRPr="006D6381">
                              <w:rPr>
                                <w:noProof/>
                                <w:lang w:eastAsia="ja-JP"/>
                              </w:rPr>
                              <w:t xml:space="preserve"> the</w:t>
                            </w:r>
                            <w:r w:rsidR="00A250E5" w:rsidRPr="006D6381">
                              <w:rPr>
                                <w:noProof/>
                                <w:lang w:eastAsia="ja-JP"/>
                              </w:rPr>
                              <w:t xml:space="preserve"> </w:t>
                            </w:r>
                            <w:r w:rsidR="00AD4428" w:rsidRPr="006D6381">
                              <w:rPr>
                                <w:noProof/>
                                <w:lang w:eastAsia="ja-JP"/>
                              </w:rPr>
                              <w:t>final energy consumption</w:t>
                            </w:r>
                            <w:r w:rsidR="006D6381">
                              <w:rPr>
                                <w:noProof/>
                                <w:lang w:eastAsia="ja-JP"/>
                              </w:rPr>
                              <w:t xml:space="preserve"> </w:t>
                            </w:r>
                            <w:r w:rsidR="00A250E5" w:rsidRPr="006D6381">
                              <w:rPr>
                                <w:noProof/>
                                <w:lang w:eastAsia="ja-JP"/>
                              </w:rPr>
                              <w:t>of each product (zinc, electrolytic lead, electrolytic copper, ferronickel, aluminum ground metal, and aluminum rolled products)</w:t>
                            </w:r>
                            <w:r w:rsidR="00AD4428" w:rsidRPr="006D6381">
                              <w:rPr>
                                <w:noProof/>
                                <w:lang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F2A6" id="テキスト ボックス 7" o:spid="_x0000_s1027" type="#_x0000_t202" style="position:absolute;left:0;text-align:left;margin-left:-10.5pt;margin-top:32.85pt;width:497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" fillcolor="white [3201]" stroked="f" strokeweight=".5pt">
                <v:textbox>
                  <w:txbxContent>
                    <w:p w14:paraId="7BA0E14B" w14:textId="3C1D7EBC" w:rsidR="00CB74D6" w:rsidRPr="00260A22" w:rsidRDefault="00CB74D6" w:rsidP="00613F99">
                      <w:pPr>
                        <w:spacing w:afterLines="20" w:after="48" w:line="240" w:lineRule="exact"/>
                        <w:jc w:val="center"/>
                        <w:rPr>
                          <w:b/>
                          <w:lang w:eastAsia="ja-JP"/>
                        </w:rPr>
                      </w:pPr>
                      <w:r w:rsidRPr="00260A22">
                        <w:t xml:space="preserve">Table </w:t>
                      </w:r>
                      <w:r w:rsidRPr="00260A22">
                        <w:rPr>
                          <w:b/>
                        </w:rPr>
                        <w:fldChar w:fldCharType="begin"/>
                      </w:r>
                      <w:r w:rsidRPr="00260A22">
                        <w:instrText xml:space="preserve"> SEQ Table \* ARABIC </w:instrText>
                      </w:r>
                      <w:r w:rsidRPr="00260A22">
                        <w:rPr>
                          <w:b/>
                        </w:rPr>
                        <w:fldChar w:fldCharType="separate"/>
                      </w:r>
                      <w:r w:rsidR="0012321E">
                        <w:rPr>
                          <w:noProof/>
                        </w:rPr>
                        <w:t>1</w:t>
                      </w:r>
                      <w:r w:rsidRPr="00260A22">
                        <w:rPr>
                          <w:b/>
                        </w:rPr>
                        <w:fldChar w:fldCharType="end"/>
                      </w:r>
                      <w:r w:rsidRPr="00260A22">
                        <w:rPr>
                          <w:lang w:eastAsia="ja-JP"/>
                        </w:rPr>
                        <w:t xml:space="preserve">. </w:t>
                      </w:r>
                      <w:r w:rsidR="00E23E3D">
                        <w:t xml:space="preserve">Summary of iron and steel, </w:t>
                      </w:r>
                      <w:r w:rsidR="00E23E3D" w:rsidRPr="00E23E3D">
                        <w:t>non-ferrous metal</w:t>
                      </w:r>
                      <w:r w:rsidR="00E23E3D">
                        <w:t>, and cement sectors in Japan</w:t>
                      </w:r>
                    </w:p>
                    <w:tbl>
                      <w:tblPr>
                        <w:tblStyle w:val="10"/>
                        <w:tblW w:w="8856" w:type="dxa"/>
                        <w:jc w:val="center"/>
                        <w:tblCellMar>
                          <w:left w:w="28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28"/>
                        <w:gridCol w:w="1741"/>
                        <w:gridCol w:w="1928"/>
                        <w:gridCol w:w="1559"/>
                      </w:tblGrid>
                      <w:tr w:rsidR="00CB74D6" w:rsidRPr="006D6381" w14:paraId="2E0F3B35" w14:textId="77777777" w:rsidTr="006D638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8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28" w:type="dxa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EFE4A4" w14:textId="77777777" w:rsidR="00CB74D6" w:rsidRPr="006D6381" w:rsidRDefault="00CB74D6" w:rsidP="00CB74D6">
                            <w:pPr>
                              <w:jc w:val="center"/>
                              <w:rPr>
                                <w:i w:val="0"/>
                                <w:noProof/>
                                <w:lang w:val="en-US" w:eastAsia="ja-JP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F236515" w14:textId="77777777" w:rsidR="00CB74D6" w:rsidRPr="006D6381" w:rsidRDefault="00CB74D6" w:rsidP="00CB74D6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 w:val="0"/>
                                <w:noProof/>
                                <w:lang w:val="en-US" w:eastAsia="ja-JP"/>
                              </w:rPr>
                            </w:pPr>
                            <w:r w:rsidRPr="006D6381">
                              <w:rPr>
                                <w:rFonts w:hint="eastAsia"/>
                                <w:i w:val="0"/>
                                <w:noProof/>
                                <w:lang w:val="en-US" w:eastAsia="ja-JP"/>
                              </w:rPr>
                              <w:t>P</w:t>
                            </w:r>
                            <w:r w:rsidRPr="006D6381">
                              <w:rPr>
                                <w:i w:val="0"/>
                                <w:noProof/>
                                <w:lang w:val="en-US" w:eastAsia="ja-JP"/>
                              </w:rPr>
                              <w:t>roduction volume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12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BE9B9FC" w14:textId="77777777" w:rsidR="00CB74D6" w:rsidRPr="006D6381" w:rsidRDefault="00CB74D6" w:rsidP="00CB74D6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 w:val="0"/>
                                <w:noProof/>
                                <w:lang w:val="en-US" w:eastAsia="ja-JP"/>
                              </w:rPr>
                            </w:pPr>
                            <w:r w:rsidRPr="006D6381">
                              <w:rPr>
                                <w:rFonts w:hint="eastAsia"/>
                                <w:i w:val="0"/>
                                <w:noProof/>
                                <w:lang w:val="en-US" w:eastAsia="ja-JP"/>
                              </w:rPr>
                              <w:t>E</w:t>
                            </w:r>
                            <w:r w:rsidRPr="006D6381">
                              <w:rPr>
                                <w:i w:val="0"/>
                                <w:noProof/>
                                <w:lang w:val="en-US" w:eastAsia="ja-JP"/>
                              </w:rPr>
                              <w:t>nergy intensity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12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090CCD7" w14:textId="77777777" w:rsidR="00CB74D6" w:rsidRPr="006D6381" w:rsidRDefault="00CB74D6" w:rsidP="00CB74D6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 w:val="0"/>
                                <w:noProof/>
                                <w:lang w:val="en-US" w:eastAsia="ja-JP"/>
                              </w:rPr>
                            </w:pPr>
                            <w:r w:rsidRPr="006D6381">
                              <w:rPr>
                                <w:rFonts w:hint="eastAsia"/>
                                <w:i w:val="0"/>
                                <w:noProof/>
                                <w:lang w:val="en-US" w:eastAsia="ja-JP"/>
                              </w:rPr>
                              <w:t>E</w:t>
                            </w:r>
                            <w:r w:rsidRPr="006D6381">
                              <w:rPr>
                                <w:i w:val="0"/>
                                <w:noProof/>
                                <w:lang w:val="en-US" w:eastAsia="ja-JP"/>
                              </w:rPr>
                              <w:t>nergy consumption</w:t>
                            </w:r>
                          </w:p>
                        </w:tc>
                      </w:tr>
                      <w:tr w:rsidR="00CB74D6" w:rsidRPr="006D6381" w14:paraId="625A585A" w14:textId="77777777" w:rsidTr="006D6381">
                        <w:trPr>
                          <w:trHeight w:val="28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2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95F37B3" w14:textId="77777777" w:rsidR="00CB74D6" w:rsidRPr="006D6381" w:rsidRDefault="00CB74D6" w:rsidP="00CB74D6">
                            <w:pPr>
                              <w:jc w:val="center"/>
                              <w:rPr>
                                <w:noProof/>
                                <w:lang w:val="en-US" w:eastAsia="ja-JP"/>
                              </w:rPr>
                            </w:pPr>
                            <w:r w:rsidRPr="006D6381">
                              <w:rPr>
                                <w:noProof/>
                                <w:lang w:val="en-US" w:eastAsia="ja-JP"/>
                              </w:rPr>
                              <w:t>Iron and steel (from 2000 to 2016)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4E88087" w14:textId="77777777" w:rsidR="00CB74D6" w:rsidRPr="006D6381" w:rsidRDefault="00CB74D6" w:rsidP="00CB74D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noProof/>
                                <w:lang w:val="en-US" w:eastAsia="ja-JP"/>
                              </w:rPr>
                            </w:pPr>
                            <w:r w:rsidRPr="006D6381">
                              <w:rPr>
                                <w:rFonts w:hint="eastAsia"/>
                                <w:noProof/>
                                <w:lang w:val="en-US" w:eastAsia="ja-JP"/>
                              </w:rPr>
                              <w:t>-</w:t>
                            </w:r>
                            <w:r w:rsidRPr="006D6381">
                              <w:rPr>
                                <w:noProof/>
                                <w:lang w:val="en-US" w:eastAsia="ja-JP"/>
                              </w:rPr>
                              <w:t>1.6</w:t>
                            </w:r>
                            <w:r w:rsidRPr="006D6381">
                              <w:rPr>
                                <w:rFonts w:hint="eastAsia"/>
                                <w:noProof/>
                                <w:lang w:val="en-US" w:eastAsia="ja-JP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697A538" w14:textId="77777777" w:rsidR="00CB74D6" w:rsidRPr="006D6381" w:rsidRDefault="00CB74D6" w:rsidP="00CB74D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noProof/>
                                <w:lang w:val="en-US" w:eastAsia="ja-JP"/>
                              </w:rPr>
                            </w:pPr>
                            <w:r w:rsidRPr="006D6381">
                              <w:rPr>
                                <w:rFonts w:hint="eastAsia"/>
                                <w:noProof/>
                                <w:lang w:val="en-US" w:eastAsia="ja-JP"/>
                              </w:rPr>
                              <w:t>-</w:t>
                            </w:r>
                            <w:r w:rsidRPr="006D6381">
                              <w:rPr>
                                <w:noProof/>
                                <w:lang w:val="en-US" w:eastAsia="ja-JP"/>
                              </w:rPr>
                              <w:t>1.2%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2AA17A8" w14:textId="77777777" w:rsidR="00CB74D6" w:rsidRPr="006D6381" w:rsidRDefault="00CB74D6" w:rsidP="00CB74D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noProof/>
                                <w:lang w:val="en-US" w:eastAsia="ja-JP"/>
                              </w:rPr>
                            </w:pPr>
                            <w:r w:rsidRPr="006D6381">
                              <w:rPr>
                                <w:rFonts w:hint="eastAsia"/>
                                <w:noProof/>
                                <w:lang w:val="en-US" w:eastAsia="ja-JP"/>
                              </w:rPr>
                              <w:t>-</w:t>
                            </w:r>
                            <w:r w:rsidRPr="006D6381">
                              <w:rPr>
                                <w:noProof/>
                                <w:lang w:val="en-US" w:eastAsia="ja-JP"/>
                              </w:rPr>
                              <w:t>2.8%</w:t>
                            </w:r>
                          </w:p>
                        </w:tc>
                      </w:tr>
                      <w:tr w:rsidR="00CB74D6" w:rsidRPr="006D6381" w14:paraId="04C20336" w14:textId="77777777" w:rsidTr="006D6381">
                        <w:trPr>
                          <w:trHeight w:val="28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2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FC6A1C" w14:textId="77777777" w:rsidR="00CB74D6" w:rsidRPr="006D6381" w:rsidRDefault="00CB74D6" w:rsidP="00CB74D6">
                            <w:pPr>
                              <w:jc w:val="center"/>
                              <w:rPr>
                                <w:noProof/>
                                <w:lang w:val="en-US" w:eastAsia="ja-JP"/>
                              </w:rPr>
                            </w:pPr>
                            <w:r w:rsidRPr="006D6381">
                              <w:rPr>
                                <w:noProof/>
                                <w:lang w:val="en-US" w:eastAsia="ja-JP"/>
                              </w:rPr>
                              <w:t>Non-ferrous metal (from 2010 to 2016)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47F7FD9" w14:textId="77777777" w:rsidR="00CB74D6" w:rsidRPr="006D6381" w:rsidRDefault="00CB74D6" w:rsidP="00CB74D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noProof/>
                                <w:lang w:val="en-US" w:eastAsia="ja-JP"/>
                              </w:rPr>
                            </w:pPr>
                            <w:r w:rsidRPr="006D6381">
                              <w:rPr>
                                <w:rFonts w:hint="eastAsia"/>
                                <w:noProof/>
                                <w:lang w:val="en-US" w:eastAsia="ja-JP"/>
                              </w:rPr>
                              <w:t>-</w:t>
                            </w:r>
                            <w:r w:rsidRPr="006D6381">
                              <w:rPr>
                                <w:noProof/>
                                <w:lang w:val="en-US" w:eastAsia="ja-JP"/>
                              </w:rPr>
                              <w:t>14%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A589334" w14:textId="77777777" w:rsidR="00CB74D6" w:rsidRPr="006D6381" w:rsidRDefault="00CB74D6" w:rsidP="00CB74D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noProof/>
                                <w:lang w:val="en-US" w:eastAsia="ja-JP"/>
                              </w:rPr>
                            </w:pPr>
                            <w:r w:rsidRPr="006D6381">
                              <w:rPr>
                                <w:rFonts w:hint="eastAsia"/>
                                <w:noProof/>
                                <w:lang w:val="en-US" w:eastAsia="ja-JP"/>
                              </w:rPr>
                              <w:t>+</w:t>
                            </w:r>
                            <w:r w:rsidRPr="006D6381">
                              <w:rPr>
                                <w:noProof/>
                                <w:lang w:val="en-US" w:eastAsia="ja-JP"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31416F9" w14:textId="77777777" w:rsidR="00CB74D6" w:rsidRPr="006D6381" w:rsidRDefault="00CB74D6" w:rsidP="00CB74D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noProof/>
                                <w:lang w:val="en-US" w:eastAsia="ja-JP"/>
                              </w:rPr>
                            </w:pPr>
                            <w:r w:rsidRPr="006D6381">
                              <w:rPr>
                                <w:rFonts w:hint="eastAsia"/>
                                <w:noProof/>
                                <w:lang w:val="en-US" w:eastAsia="ja-JP"/>
                              </w:rPr>
                              <w:t>-</w:t>
                            </w:r>
                            <w:r w:rsidRPr="006D6381">
                              <w:rPr>
                                <w:noProof/>
                                <w:lang w:val="en-US" w:eastAsia="ja-JP"/>
                              </w:rPr>
                              <w:t>9%</w:t>
                            </w:r>
                          </w:p>
                        </w:tc>
                      </w:tr>
                      <w:tr w:rsidR="00CB74D6" w:rsidRPr="006D6381" w14:paraId="0C9FB4AE" w14:textId="77777777" w:rsidTr="006D6381">
                        <w:trPr>
                          <w:trHeight w:val="28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2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01DD4D" w14:textId="77777777" w:rsidR="00CB74D6" w:rsidRPr="006D6381" w:rsidRDefault="00CB74D6" w:rsidP="00CB74D6">
                            <w:pPr>
                              <w:jc w:val="center"/>
                              <w:rPr>
                                <w:noProof/>
                                <w:lang w:val="en-US" w:eastAsia="ja-JP"/>
                              </w:rPr>
                            </w:pPr>
                            <w:r w:rsidRPr="006D6381">
                              <w:rPr>
                                <w:noProof/>
                                <w:lang w:val="en-US" w:eastAsia="ja-JP"/>
                              </w:rPr>
                              <w:t>Cement (from 2000 to 2016)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000000"/>
                              <w:right w:val="nil"/>
                            </w:tcBorders>
                            <w:vAlign w:val="center"/>
                          </w:tcPr>
                          <w:p w14:paraId="3C938CAB" w14:textId="77777777" w:rsidR="00CB74D6" w:rsidRPr="006D6381" w:rsidRDefault="00CB74D6" w:rsidP="00CB74D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noProof/>
                                <w:lang w:val="en-US" w:eastAsia="ja-JP"/>
                              </w:rPr>
                            </w:pPr>
                            <w:r w:rsidRPr="006D6381">
                              <w:rPr>
                                <w:rFonts w:hint="eastAsia"/>
                                <w:noProof/>
                                <w:lang w:val="en-US" w:eastAsia="ja-JP"/>
                              </w:rPr>
                              <w:t>-</w:t>
                            </w:r>
                            <w:r w:rsidRPr="006D6381">
                              <w:rPr>
                                <w:noProof/>
                                <w:lang w:val="en-US" w:eastAsia="ja-JP"/>
                              </w:rPr>
                              <w:t>29.2%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4" w:space="0" w:color="auto"/>
                              <w:left w:val="nil"/>
                              <w:bottom w:val="single" w:sz="12" w:space="0" w:color="000000"/>
                              <w:right w:val="nil"/>
                            </w:tcBorders>
                            <w:vAlign w:val="center"/>
                          </w:tcPr>
                          <w:p w14:paraId="038850B8" w14:textId="77777777" w:rsidR="00CB74D6" w:rsidRPr="006D6381" w:rsidRDefault="00CB74D6" w:rsidP="00CB74D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noProof/>
                                <w:lang w:val="en-US" w:eastAsia="ja-JP"/>
                              </w:rPr>
                            </w:pPr>
                            <w:r w:rsidRPr="006D6381">
                              <w:rPr>
                                <w:rFonts w:hint="eastAsia"/>
                                <w:noProof/>
                                <w:lang w:val="en-US" w:eastAsia="ja-JP"/>
                              </w:rPr>
                              <w:t>+</w:t>
                            </w:r>
                            <w:r w:rsidRPr="006D6381">
                              <w:rPr>
                                <w:noProof/>
                                <w:lang w:val="en-US" w:eastAsia="ja-JP"/>
                              </w:rPr>
                              <w:t>7.2%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nil"/>
                              <w:bottom w:val="single" w:sz="12" w:space="0" w:color="000000"/>
                              <w:right w:val="nil"/>
                            </w:tcBorders>
                            <w:vAlign w:val="center"/>
                          </w:tcPr>
                          <w:p w14:paraId="1F8D5918" w14:textId="77777777" w:rsidR="00CB74D6" w:rsidRPr="006D6381" w:rsidRDefault="00CB74D6" w:rsidP="00CB74D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noProof/>
                                <w:lang w:val="en-US" w:eastAsia="ja-JP"/>
                              </w:rPr>
                            </w:pPr>
                            <w:r w:rsidRPr="006D6381">
                              <w:rPr>
                                <w:rFonts w:hint="eastAsia"/>
                                <w:noProof/>
                                <w:lang w:val="en-US" w:eastAsia="ja-JP"/>
                              </w:rPr>
                              <w:t>-</w:t>
                            </w:r>
                            <w:r w:rsidRPr="006D6381">
                              <w:rPr>
                                <w:noProof/>
                                <w:lang w:val="en-US" w:eastAsia="ja-JP"/>
                              </w:rPr>
                              <w:t>24.1%</w:t>
                            </w:r>
                          </w:p>
                        </w:tc>
                      </w:tr>
                    </w:tbl>
                    <w:p w14:paraId="65E32B36" w14:textId="298D65CF" w:rsidR="00E23E3D" w:rsidRPr="006D6381" w:rsidRDefault="00CB74D6" w:rsidP="006D6381">
                      <w:pPr>
                        <w:spacing w:after="200"/>
                        <w:ind w:leftChars="142" w:left="566" w:hangingChars="141" w:hanging="282"/>
                      </w:pPr>
                      <w:r w:rsidRPr="006D6381">
                        <w:rPr>
                          <w:noProof/>
                          <w:lang w:eastAsia="ja-JP"/>
                        </w:rPr>
                        <w:t xml:space="preserve">Note) In non-ferrous metal sector, production volume and energy intensity </w:t>
                      </w:r>
                      <w:r w:rsidR="00AD4428" w:rsidRPr="006D6381">
                        <w:rPr>
                          <w:noProof/>
                          <w:lang w:eastAsia="ja-JP"/>
                        </w:rPr>
                        <w:t xml:space="preserve">mean </w:t>
                      </w:r>
                      <w:r w:rsidR="00DC02E4" w:rsidRPr="00DC02E4">
                        <w:rPr>
                          <w:noProof/>
                          <w:lang w:eastAsia="ja-JP"/>
                        </w:rPr>
                        <w:t>a weighted average of</w:t>
                      </w:r>
                      <w:r w:rsidR="00AD4428" w:rsidRPr="006D6381">
                        <w:rPr>
                          <w:noProof/>
                          <w:lang w:eastAsia="ja-JP"/>
                        </w:rPr>
                        <w:t xml:space="preserve"> the</w:t>
                      </w:r>
                      <w:r w:rsidR="00A250E5" w:rsidRPr="006D6381">
                        <w:rPr>
                          <w:noProof/>
                          <w:lang w:eastAsia="ja-JP"/>
                        </w:rPr>
                        <w:t xml:space="preserve"> </w:t>
                      </w:r>
                      <w:r w:rsidR="00AD4428" w:rsidRPr="006D6381">
                        <w:rPr>
                          <w:noProof/>
                          <w:lang w:eastAsia="ja-JP"/>
                        </w:rPr>
                        <w:t>final energy consumption</w:t>
                      </w:r>
                      <w:r w:rsidR="006D6381">
                        <w:rPr>
                          <w:noProof/>
                          <w:lang w:eastAsia="ja-JP"/>
                        </w:rPr>
                        <w:t xml:space="preserve"> </w:t>
                      </w:r>
                      <w:r w:rsidR="00A250E5" w:rsidRPr="006D6381">
                        <w:rPr>
                          <w:noProof/>
                          <w:lang w:eastAsia="ja-JP"/>
                        </w:rPr>
                        <w:t>of each product (zinc, electrolytic lead, electrolytic copper, ferronickel, aluminum ground metal, and aluminum rolled products)</w:t>
                      </w:r>
                      <w:r w:rsidR="00AD4428" w:rsidRPr="006D6381">
                        <w:rPr>
                          <w:noProof/>
                          <w:lang w:eastAsia="ja-JP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3E3D">
        <w:t>The results obtained above would be valuable basic information for discussion of further energy intensity improvement and CO</w:t>
      </w:r>
      <w:r w:rsidRPr="00E23E3D">
        <w:rPr>
          <w:vertAlign w:val="subscript"/>
        </w:rPr>
        <w:t>2</w:t>
      </w:r>
      <w:r w:rsidRPr="00E23E3D">
        <w:t xml:space="preserve"> emissions reduction in these sectors.</w:t>
      </w:r>
    </w:p>
    <w:p w14:paraId="47FE0B7C" w14:textId="77777777" w:rsidR="00DC69F1" w:rsidRPr="00D767DA" w:rsidRDefault="00DC69F1">
      <w:pPr>
        <w:pStyle w:val="2"/>
        <w:rPr>
          <w:i w:val="0"/>
          <w:sz w:val="24"/>
          <w:szCs w:val="24"/>
        </w:rPr>
      </w:pPr>
      <w:r w:rsidRPr="00D767DA">
        <w:rPr>
          <w:i w:val="0"/>
          <w:sz w:val="24"/>
          <w:szCs w:val="24"/>
        </w:rPr>
        <w:t>References</w:t>
      </w:r>
    </w:p>
    <w:p w14:paraId="780B7693" w14:textId="77777777" w:rsidR="00C66ABE" w:rsidRDefault="00C66ABE" w:rsidP="00C66ABE">
      <w:pPr>
        <w:pStyle w:val="20"/>
        <w:spacing w:after="120"/>
        <w:ind w:left="357" w:hanging="357"/>
        <w:rPr>
          <w:lang w:eastAsia="ja-JP"/>
        </w:rPr>
      </w:pPr>
      <w:r>
        <w:rPr>
          <w:rFonts w:hint="eastAsia"/>
          <w:lang w:eastAsia="ja-JP"/>
        </w:rPr>
        <w:t>C</w:t>
      </w:r>
      <w:r>
        <w:rPr>
          <w:lang w:eastAsia="ja-JP"/>
        </w:rPr>
        <w:t xml:space="preserve">ement Press, 2017. </w:t>
      </w:r>
      <w:r w:rsidRPr="00C66ABE">
        <w:t>Yearbook of</w:t>
      </w:r>
      <w:r>
        <w:t xml:space="preserve"> cement industry 2017. (in Japanese)</w:t>
      </w:r>
    </w:p>
    <w:p w14:paraId="6AD0E022" w14:textId="77777777" w:rsidR="00357472" w:rsidRDefault="00357472" w:rsidP="00C66ABE">
      <w:pPr>
        <w:pStyle w:val="20"/>
        <w:spacing w:after="120"/>
        <w:ind w:left="357" w:hanging="357"/>
      </w:pPr>
      <w:r w:rsidRPr="00357472">
        <w:t xml:space="preserve">Junichiro Oda, </w:t>
      </w:r>
      <w:proofErr w:type="spellStart"/>
      <w:r w:rsidRPr="00357472">
        <w:t>Keigo</w:t>
      </w:r>
      <w:proofErr w:type="spellEnd"/>
      <w:r w:rsidRPr="00357472">
        <w:t xml:space="preserve"> Akimoto, Takashi Homma,</w:t>
      </w:r>
      <w:r>
        <w:t xml:space="preserve"> </w:t>
      </w:r>
      <w:r w:rsidRPr="00357472">
        <w:t xml:space="preserve">2016. Carbon </w:t>
      </w:r>
      <w:r>
        <w:t>i</w:t>
      </w:r>
      <w:r w:rsidRPr="00357472">
        <w:t xml:space="preserve">ntensity and its </w:t>
      </w:r>
      <w:r>
        <w:t>d</w:t>
      </w:r>
      <w:r w:rsidRPr="00357472">
        <w:t xml:space="preserve">eterminants in Japanese </w:t>
      </w:r>
      <w:r>
        <w:t>s</w:t>
      </w:r>
      <w:r w:rsidRPr="00357472">
        <w:t xml:space="preserve">teel </w:t>
      </w:r>
      <w:r>
        <w:t>i</w:t>
      </w:r>
      <w:r w:rsidRPr="00357472">
        <w:t>ndustry, The 5th IAEE Asian Conference, Perth, Australia, Feb 14-17, 2016.</w:t>
      </w:r>
    </w:p>
    <w:p w14:paraId="6A336692" w14:textId="77777777" w:rsidR="00C66ABE" w:rsidRDefault="00C66ABE" w:rsidP="00C66ABE">
      <w:pPr>
        <w:pStyle w:val="20"/>
        <w:spacing w:after="120"/>
        <w:ind w:left="357" w:hanging="357"/>
      </w:pPr>
      <w:r w:rsidRPr="00C66ABE">
        <w:t>Ministry of Economy, Trade and Industry (METI), 2017</w:t>
      </w:r>
      <w:r>
        <w:t>a.</w:t>
      </w:r>
      <w:r w:rsidRPr="00C66ABE">
        <w:t xml:space="preserve"> General Energy Statistics 2017.</w:t>
      </w:r>
      <w:r>
        <w:t xml:space="preserve"> (in Japanese)</w:t>
      </w:r>
    </w:p>
    <w:p w14:paraId="50F2D05F" w14:textId="77777777" w:rsidR="00DC69F1" w:rsidRDefault="00C66ABE" w:rsidP="00C66ABE">
      <w:pPr>
        <w:pStyle w:val="20"/>
        <w:spacing w:after="120"/>
        <w:ind w:left="357" w:hanging="357"/>
      </w:pPr>
      <w:r w:rsidRPr="00C66ABE">
        <w:t>Ministry of Economy, Trade and Industry (METI), 2017</w:t>
      </w:r>
      <w:r>
        <w:t>b</w:t>
      </w:r>
      <w:r w:rsidRPr="00C66ABE">
        <w:t>. Monthly Report of the Current Survey of Energy Consumption: Total-C.Y.2017.</w:t>
      </w:r>
      <w:r>
        <w:t xml:space="preserve"> (in Japanese)</w:t>
      </w:r>
    </w:p>
    <w:p w14:paraId="0E30A47B" w14:textId="77777777" w:rsidR="00C66ABE" w:rsidRDefault="00C66ABE" w:rsidP="00C66ABE">
      <w:pPr>
        <w:pStyle w:val="20"/>
        <w:spacing w:after="120"/>
        <w:ind w:left="357" w:hanging="357"/>
      </w:pPr>
      <w:r w:rsidRPr="00C66ABE">
        <w:t>Ministry of Economy, Trade and Industry (METI), 2017</w:t>
      </w:r>
      <w:r>
        <w:t>c</w:t>
      </w:r>
      <w:r w:rsidRPr="00C66ABE">
        <w:t>. Yearbook of current production statistics 2017.</w:t>
      </w:r>
      <w:r>
        <w:t xml:space="preserve"> (in Japanese)</w:t>
      </w:r>
    </w:p>
    <w:p w14:paraId="7B22BF99" w14:textId="77777777" w:rsidR="00DC69F1" w:rsidRDefault="00C66ABE" w:rsidP="00C66ABE">
      <w:pPr>
        <w:pStyle w:val="20"/>
        <w:spacing w:after="120"/>
        <w:ind w:left="357" w:hanging="357"/>
      </w:pPr>
      <w:r>
        <w:rPr>
          <w:rFonts w:hint="eastAsia"/>
          <w:lang w:eastAsia="ja-JP"/>
        </w:rPr>
        <w:t>J</w:t>
      </w:r>
      <w:r>
        <w:rPr>
          <w:lang w:eastAsia="ja-JP"/>
        </w:rPr>
        <w:t xml:space="preserve">apan Iron and Steel Federation (JISF), 2017. Handbook for iron and steel statistics. </w:t>
      </w:r>
      <w:r>
        <w:t>(in Japanese)</w:t>
      </w:r>
    </w:p>
    <w:sectPr w:rsidR="00DC69F1" w:rsidSect="00FC73E0">
      <w:headerReference w:type="first" r:id="rId11"/>
      <w:type w:val="continuous"/>
      <w:pgSz w:w="12240" w:h="15840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C1D28" w14:textId="77777777" w:rsidR="00E25CA6" w:rsidRDefault="00E25CA6">
      <w:r>
        <w:separator/>
      </w:r>
    </w:p>
  </w:endnote>
  <w:endnote w:type="continuationSeparator" w:id="0">
    <w:p w14:paraId="31998B72" w14:textId="77777777" w:rsidR="00E25CA6" w:rsidRDefault="00E2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D38EB" w14:textId="77777777" w:rsidR="00E25CA6" w:rsidRDefault="00E25CA6">
      <w:r>
        <w:separator/>
      </w:r>
    </w:p>
  </w:footnote>
  <w:footnote w:type="continuationSeparator" w:id="0">
    <w:p w14:paraId="27C51DB2" w14:textId="77777777" w:rsidR="00E25CA6" w:rsidRDefault="00E2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389FA" w14:textId="77777777" w:rsidR="005A5112" w:rsidRDefault="005A5112" w:rsidP="00DC69F1">
    <w:pPr>
      <w:pStyle w:val="a4"/>
      <w:tabs>
        <w:tab w:val="clear" w:pos="5400"/>
        <w:tab w:val="center" w:pos="851"/>
      </w:tabs>
      <w:jc w:val="right"/>
    </w:pPr>
    <w:r>
      <w:rPr>
        <w:lang w:val="en-US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1E0D"/>
    <w:multiLevelType w:val="singleLevel"/>
    <w:tmpl w:val="17E28C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A41059"/>
    <w:multiLevelType w:val="singleLevel"/>
    <w:tmpl w:val="B4D86B60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435"/>
      </w:pPr>
      <w:rPr>
        <w:rFonts w:hint="default"/>
      </w:rPr>
    </w:lvl>
  </w:abstractNum>
  <w:abstractNum w:abstractNumId="2" w15:restartNumberingAfterBreak="0">
    <w:nsid w:val="10E67A70"/>
    <w:multiLevelType w:val="singleLevel"/>
    <w:tmpl w:val="DEDEAE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2D63ED5"/>
    <w:multiLevelType w:val="hybridMultilevel"/>
    <w:tmpl w:val="6B46CECA"/>
    <w:lvl w:ilvl="0" w:tplc="F14A6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1E63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1E7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C49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CC6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A21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54C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8CF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DAB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F0437"/>
    <w:multiLevelType w:val="singleLevel"/>
    <w:tmpl w:val="924860C8"/>
    <w:lvl w:ilvl="0">
      <w:start w:val="1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DC339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6204CC"/>
    <w:multiLevelType w:val="hybridMultilevel"/>
    <w:tmpl w:val="5B88F87E"/>
    <w:lvl w:ilvl="0" w:tplc="8C0666A0">
      <w:start w:val="1"/>
      <w:numFmt w:val="lowerRoman"/>
      <w:lvlText w:val="%1.)"/>
      <w:lvlJc w:val="left"/>
      <w:pPr>
        <w:tabs>
          <w:tab w:val="num" w:pos="540"/>
        </w:tabs>
        <w:ind w:left="255" w:hanging="435"/>
      </w:pPr>
      <w:rPr>
        <w:rFonts w:hint="default"/>
      </w:rPr>
    </w:lvl>
    <w:lvl w:ilvl="1" w:tplc="8C26390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612B20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2B86FCE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09CDDB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D76376A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ADA3DD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5E8EC48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662C107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EAA7558"/>
    <w:multiLevelType w:val="hybridMultilevel"/>
    <w:tmpl w:val="EE18B334"/>
    <w:lvl w:ilvl="0" w:tplc="FCD2CF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BCB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721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042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C3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66A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A4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EC67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64C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1A2E"/>
    <w:multiLevelType w:val="hybridMultilevel"/>
    <w:tmpl w:val="60367C9A"/>
    <w:lvl w:ilvl="0" w:tplc="A70AA2AE">
      <w:start w:val="1"/>
      <w:numFmt w:val="lowerRoman"/>
      <w:lvlText w:val="%1.)"/>
      <w:lvlJc w:val="left"/>
      <w:pPr>
        <w:tabs>
          <w:tab w:val="num" w:pos="720"/>
        </w:tabs>
        <w:ind w:left="435" w:hanging="435"/>
      </w:pPr>
      <w:rPr>
        <w:rFonts w:hint="default"/>
      </w:rPr>
    </w:lvl>
    <w:lvl w:ilvl="1" w:tplc="66C40A68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81260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22C42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6E60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A6EB5A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95A0A5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AC45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F5CE5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2C5EE1"/>
    <w:multiLevelType w:val="hybridMultilevel"/>
    <w:tmpl w:val="323EEBB0"/>
    <w:lvl w:ilvl="0" w:tplc="DC2045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F105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6A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C6E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F03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72F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25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C8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52E3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1A25F6"/>
    <w:multiLevelType w:val="hybridMultilevel"/>
    <w:tmpl w:val="E99808A0"/>
    <w:lvl w:ilvl="0" w:tplc="72827CA6">
      <w:start w:val="1"/>
      <w:numFmt w:val="lowerRoman"/>
      <w:lvlText w:val="%1.)"/>
      <w:lvlJc w:val="left"/>
      <w:pPr>
        <w:tabs>
          <w:tab w:val="num" w:pos="720"/>
        </w:tabs>
        <w:ind w:left="435" w:hanging="435"/>
      </w:pPr>
      <w:rPr>
        <w:rFonts w:hint="default"/>
      </w:rPr>
    </w:lvl>
    <w:lvl w:ilvl="1" w:tplc="93D0F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E8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C6D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ECF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6AA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38B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84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E80C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207471"/>
    <w:multiLevelType w:val="hybridMultilevel"/>
    <w:tmpl w:val="D2EC5A26"/>
    <w:lvl w:ilvl="0" w:tplc="07F457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2AEA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BC9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E7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E06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844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0E2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68FB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76F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84757"/>
    <w:multiLevelType w:val="hybridMultilevel"/>
    <w:tmpl w:val="2536FB92"/>
    <w:lvl w:ilvl="0" w:tplc="6EA635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F34BB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59C4A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ABC95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EDA96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8F69B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542C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9CCFC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864377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EC7B76"/>
    <w:multiLevelType w:val="hybridMultilevel"/>
    <w:tmpl w:val="3C0E5202"/>
    <w:lvl w:ilvl="0" w:tplc="2B9A11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2921A0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AF054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2D0C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B9E830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BB4D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39E50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85023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68829F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19490F"/>
    <w:multiLevelType w:val="hybridMultilevel"/>
    <w:tmpl w:val="1E7829D2"/>
    <w:lvl w:ilvl="0" w:tplc="593252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D14224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2F01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3F038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BBA505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DDC0E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93406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9F089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8E7F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F4106"/>
    <w:multiLevelType w:val="hybridMultilevel"/>
    <w:tmpl w:val="AA2E194C"/>
    <w:lvl w:ilvl="0" w:tplc="AA365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84F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E61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32F3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E7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0CD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588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6C41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B23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564C8"/>
    <w:multiLevelType w:val="singleLevel"/>
    <w:tmpl w:val="58169C78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7" w15:restartNumberingAfterBreak="0">
    <w:nsid w:val="5A5B25FE"/>
    <w:multiLevelType w:val="hybridMultilevel"/>
    <w:tmpl w:val="65F2882E"/>
    <w:lvl w:ilvl="0" w:tplc="41500BD0">
      <w:start w:val="1"/>
      <w:numFmt w:val="lowerRoman"/>
      <w:lvlText w:val="%1.)"/>
      <w:lvlJc w:val="left"/>
      <w:pPr>
        <w:tabs>
          <w:tab w:val="num" w:pos="540"/>
        </w:tabs>
        <w:ind w:left="255" w:hanging="435"/>
      </w:pPr>
      <w:rPr>
        <w:rFonts w:hint="default"/>
      </w:rPr>
    </w:lvl>
    <w:lvl w:ilvl="1" w:tplc="9BF2FD2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7326D4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7100AC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7A44A9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5992C6B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BCBC119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E0F810C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BDAD0B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0E750A6"/>
    <w:multiLevelType w:val="hybridMultilevel"/>
    <w:tmpl w:val="F6BAC8BE"/>
    <w:lvl w:ilvl="0" w:tplc="173EFAF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C562D602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97AAC3D2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390EDE0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37145D1C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96C8FDA0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6AA8454C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BFD6ECE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35C2AE7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3A74126"/>
    <w:multiLevelType w:val="hybridMultilevel"/>
    <w:tmpl w:val="2CB46994"/>
    <w:lvl w:ilvl="0" w:tplc="F14A4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A6E7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B80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A3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ED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B86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E03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CAD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CA8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495"/>
    <w:multiLevelType w:val="singleLevel"/>
    <w:tmpl w:val="94A032A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84080A"/>
    <w:multiLevelType w:val="hybridMultilevel"/>
    <w:tmpl w:val="5436F5BA"/>
    <w:lvl w:ilvl="0" w:tplc="ABFEA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AA60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88A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040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66C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A2E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9CB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09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8A0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B7FAC"/>
    <w:multiLevelType w:val="hybridMultilevel"/>
    <w:tmpl w:val="945E665A"/>
    <w:lvl w:ilvl="0" w:tplc="36C6B3AA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FC7FF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72076F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9C3D9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582B8B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3E47B9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2BCFB9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81899D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2D4B79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579615C"/>
    <w:multiLevelType w:val="hybridMultilevel"/>
    <w:tmpl w:val="B62C6030"/>
    <w:lvl w:ilvl="0" w:tplc="FA82F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B25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802C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23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07D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18A2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2DA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C83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984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2315F"/>
    <w:multiLevelType w:val="singleLevel"/>
    <w:tmpl w:val="924860C8"/>
    <w:lvl w:ilvl="0">
      <w:start w:val="1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2"/>
  </w:num>
  <w:num w:numId="5">
    <w:abstractNumId w:val="0"/>
  </w:num>
  <w:num w:numId="6">
    <w:abstractNumId w:val="24"/>
  </w:num>
  <w:num w:numId="7">
    <w:abstractNumId w:val="4"/>
  </w:num>
  <w:num w:numId="8">
    <w:abstractNumId w:val="13"/>
  </w:num>
  <w:num w:numId="9">
    <w:abstractNumId w:val="12"/>
  </w:num>
  <w:num w:numId="10">
    <w:abstractNumId w:val="21"/>
  </w:num>
  <w:num w:numId="11">
    <w:abstractNumId w:val="14"/>
  </w:num>
  <w:num w:numId="12">
    <w:abstractNumId w:val="7"/>
  </w:num>
  <w:num w:numId="13">
    <w:abstractNumId w:val="11"/>
  </w:num>
  <w:num w:numId="14">
    <w:abstractNumId w:val="19"/>
  </w:num>
  <w:num w:numId="15">
    <w:abstractNumId w:val="23"/>
  </w:num>
  <w:num w:numId="16">
    <w:abstractNumId w:val="8"/>
  </w:num>
  <w:num w:numId="17">
    <w:abstractNumId w:val="9"/>
  </w:num>
  <w:num w:numId="18">
    <w:abstractNumId w:val="3"/>
  </w:num>
  <w:num w:numId="19">
    <w:abstractNumId w:val="15"/>
  </w:num>
  <w:num w:numId="20">
    <w:abstractNumId w:val="10"/>
  </w:num>
  <w:num w:numId="21">
    <w:abstractNumId w:val="6"/>
  </w:num>
  <w:num w:numId="22">
    <w:abstractNumId w:val="17"/>
  </w:num>
  <w:num w:numId="23">
    <w:abstractNumId w:val="18"/>
  </w:num>
  <w:num w:numId="24">
    <w:abstractNumId w:val="2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DE"/>
    <w:rsid w:val="000510F9"/>
    <w:rsid w:val="000648AF"/>
    <w:rsid w:val="00073BA8"/>
    <w:rsid w:val="00107145"/>
    <w:rsid w:val="0012321E"/>
    <w:rsid w:val="0015224D"/>
    <w:rsid w:val="001B121E"/>
    <w:rsid w:val="0024293C"/>
    <w:rsid w:val="002810AF"/>
    <w:rsid w:val="002850EB"/>
    <w:rsid w:val="003205E5"/>
    <w:rsid w:val="00357472"/>
    <w:rsid w:val="003A44F7"/>
    <w:rsid w:val="00442940"/>
    <w:rsid w:val="00472CBC"/>
    <w:rsid w:val="004A675F"/>
    <w:rsid w:val="004C048E"/>
    <w:rsid w:val="00501E6F"/>
    <w:rsid w:val="00551345"/>
    <w:rsid w:val="005572F5"/>
    <w:rsid w:val="005A5112"/>
    <w:rsid w:val="005D239B"/>
    <w:rsid w:val="00604C22"/>
    <w:rsid w:val="00613F99"/>
    <w:rsid w:val="00633A73"/>
    <w:rsid w:val="006813FB"/>
    <w:rsid w:val="006D6381"/>
    <w:rsid w:val="006E1028"/>
    <w:rsid w:val="00717658"/>
    <w:rsid w:val="007C0513"/>
    <w:rsid w:val="007C6832"/>
    <w:rsid w:val="00895063"/>
    <w:rsid w:val="008B35FA"/>
    <w:rsid w:val="009226CC"/>
    <w:rsid w:val="00950B7E"/>
    <w:rsid w:val="00990814"/>
    <w:rsid w:val="009B581D"/>
    <w:rsid w:val="00A250E5"/>
    <w:rsid w:val="00A32B4A"/>
    <w:rsid w:val="00A3694E"/>
    <w:rsid w:val="00A66100"/>
    <w:rsid w:val="00A96D21"/>
    <w:rsid w:val="00AD4428"/>
    <w:rsid w:val="00AD635E"/>
    <w:rsid w:val="00B02B7D"/>
    <w:rsid w:val="00B1241B"/>
    <w:rsid w:val="00B40D34"/>
    <w:rsid w:val="00BD740E"/>
    <w:rsid w:val="00C47892"/>
    <w:rsid w:val="00C66ABE"/>
    <w:rsid w:val="00CA0507"/>
    <w:rsid w:val="00CB74D6"/>
    <w:rsid w:val="00CD0EA6"/>
    <w:rsid w:val="00D351D8"/>
    <w:rsid w:val="00D55CEA"/>
    <w:rsid w:val="00DB0029"/>
    <w:rsid w:val="00DC02E4"/>
    <w:rsid w:val="00DC69F1"/>
    <w:rsid w:val="00DE66F5"/>
    <w:rsid w:val="00E046B2"/>
    <w:rsid w:val="00E23E3D"/>
    <w:rsid w:val="00E25CA6"/>
    <w:rsid w:val="00E9636B"/>
    <w:rsid w:val="00EE5954"/>
    <w:rsid w:val="00EF4C6C"/>
    <w:rsid w:val="00F344CF"/>
    <w:rsid w:val="00F81F2B"/>
    <w:rsid w:val="00FA23DE"/>
    <w:rsid w:val="00FC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3C5AF"/>
  <w15:chartTrackingRefBased/>
  <w15:docId w15:val="{87B24504-4547-42CD-BA56-5342ABA6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Theme="minorEastAsia" w:hAnsi="Tms Rm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paragraph" w:styleId="a4">
    <w:name w:val="header"/>
    <w:basedOn w:val="a"/>
    <w:pPr>
      <w:tabs>
        <w:tab w:val="center" w:pos="5400"/>
        <w:tab w:val="right" w:pos="10800"/>
      </w:tabs>
    </w:pPr>
    <w:rPr>
      <w:rFonts w:ascii="Arial" w:hAnsi="Arial"/>
      <w:sz w:val="16"/>
    </w:rPr>
  </w:style>
  <w:style w:type="paragraph" w:styleId="a5">
    <w:name w:val="Title"/>
    <w:basedOn w:val="Number"/>
    <w:next w:val="Author"/>
    <w:qFormat/>
    <w:pPr>
      <w:spacing w:before="0" w:after="0"/>
    </w:pPr>
    <w:rPr>
      <w:b/>
      <w:bCs/>
      <w:sz w:val="22"/>
    </w:rPr>
  </w:style>
  <w:style w:type="paragraph" w:customStyle="1" w:styleId="Number">
    <w:name w:val="Number"/>
    <w:basedOn w:val="a"/>
    <w:next w:val="a5"/>
    <w:pPr>
      <w:spacing w:before="120" w:after="360"/>
    </w:pPr>
    <w:rPr>
      <w:rFonts w:ascii="Arial" w:hAnsi="Arial"/>
      <w:sz w:val="28"/>
    </w:rPr>
  </w:style>
  <w:style w:type="paragraph" w:customStyle="1" w:styleId="Author">
    <w:name w:val="Author"/>
    <w:basedOn w:val="a"/>
    <w:next w:val="copyright"/>
    <w:pPr>
      <w:spacing w:after="480"/>
    </w:pPr>
    <w:rPr>
      <w:rFonts w:ascii="Arial" w:hAnsi="Arial"/>
    </w:rPr>
  </w:style>
  <w:style w:type="paragraph" w:customStyle="1" w:styleId="copyright">
    <w:name w:val="copyright"/>
    <w:basedOn w:val="Author"/>
    <w:pPr>
      <w:spacing w:after="0" w:line="140" w:lineRule="exact"/>
      <w:jc w:val="both"/>
    </w:pPr>
    <w:rPr>
      <w:sz w:val="12"/>
    </w:rPr>
  </w:style>
  <w:style w:type="paragraph" w:styleId="a6">
    <w:name w:val="Body Text"/>
    <w:basedOn w:val="a"/>
    <w:rPr>
      <w:sz w:val="22"/>
    </w:rPr>
  </w:style>
  <w:style w:type="paragraph" w:styleId="20">
    <w:name w:val="Body Text 2"/>
    <w:basedOn w:val="a"/>
    <w:pPr>
      <w:ind w:firstLine="360"/>
      <w:jc w:val="both"/>
    </w:pPr>
  </w:style>
  <w:style w:type="paragraph" w:styleId="a7">
    <w:name w:val="Block Text"/>
    <w:basedOn w:val="a"/>
    <w:pPr>
      <w:ind w:left="144" w:right="-86" w:hanging="144"/>
      <w:jc w:val="both"/>
    </w:pPr>
  </w:style>
  <w:style w:type="paragraph" w:customStyle="1" w:styleId="rule">
    <w:name w:val="rule"/>
    <w:basedOn w:val="a"/>
    <w:next w:val="copyright"/>
  </w:style>
  <w:style w:type="paragraph" w:customStyle="1" w:styleId="Head4">
    <w:name w:val="Head4"/>
    <w:basedOn w:val="Head3"/>
    <w:next w:val="para1"/>
    <w:rPr>
      <w:b w:val="0"/>
    </w:rPr>
  </w:style>
  <w:style w:type="paragraph" w:customStyle="1" w:styleId="Head3">
    <w:name w:val="Head3"/>
    <w:basedOn w:val="para"/>
    <w:next w:val="para1"/>
    <w:pPr>
      <w:ind w:firstLine="288"/>
    </w:pPr>
    <w:rPr>
      <w:b/>
      <w:i/>
    </w:rPr>
  </w:style>
  <w:style w:type="paragraph" w:customStyle="1" w:styleId="para">
    <w:name w:val="para"/>
    <w:basedOn w:val="a"/>
    <w:next w:val="para1"/>
    <w:pPr>
      <w:jc w:val="both"/>
    </w:pPr>
  </w:style>
  <w:style w:type="paragraph" w:customStyle="1" w:styleId="para1">
    <w:name w:val="para1"/>
    <w:basedOn w:val="para"/>
    <w:pPr>
      <w:spacing w:before="120"/>
      <w:ind w:firstLine="288"/>
    </w:pPr>
  </w:style>
  <w:style w:type="paragraph" w:styleId="30">
    <w:name w:val="Body Text 3"/>
    <w:basedOn w:val="a"/>
    <w:pPr>
      <w:ind w:right="-90"/>
      <w:jc w:val="both"/>
    </w:pPr>
    <w:rPr>
      <w:sz w:val="24"/>
    </w:rPr>
  </w:style>
  <w:style w:type="paragraph" w:customStyle="1" w:styleId="Head2">
    <w:name w:val="Head2"/>
    <w:basedOn w:val="Head1"/>
    <w:next w:val="para1"/>
    <w:pPr>
      <w:keepNext w:val="0"/>
      <w:jc w:val="both"/>
    </w:pPr>
    <w:rPr>
      <w:rFonts w:ascii="Times New Roman" w:hAnsi="Times New Roman"/>
    </w:rPr>
  </w:style>
  <w:style w:type="paragraph" w:customStyle="1" w:styleId="Head1">
    <w:name w:val="Head1"/>
    <w:basedOn w:val="a"/>
    <w:next w:val="para"/>
    <w:pPr>
      <w:keepNext/>
    </w:pPr>
    <w:rPr>
      <w:rFonts w:ascii="Arial" w:hAnsi="Arial"/>
      <w:b/>
    </w:rPr>
  </w:style>
  <w:style w:type="paragraph" w:customStyle="1" w:styleId="References">
    <w:name w:val="References"/>
    <w:basedOn w:val="para"/>
    <w:pPr>
      <w:numPr>
        <w:numId w:val="24"/>
      </w:numPr>
      <w:tabs>
        <w:tab w:val="right" w:pos="360"/>
      </w:tabs>
    </w:pPr>
  </w:style>
  <w:style w:type="paragraph" w:styleId="a8">
    <w:name w:val="Body Text Indent"/>
    <w:basedOn w:val="a"/>
    <w:pPr>
      <w:ind w:left="1080" w:hanging="1080"/>
      <w:jc w:val="both"/>
    </w:pPr>
    <w:rPr>
      <w:rFonts w:ascii="Arial" w:hAnsi="Arial"/>
      <w:sz w:val="22"/>
      <w:lang w:val="en-US"/>
    </w:rPr>
  </w:style>
  <w:style w:type="paragraph" w:styleId="21">
    <w:name w:val="Body Text Indent 2"/>
    <w:basedOn w:val="a"/>
    <w:pPr>
      <w:ind w:left="360" w:hanging="720"/>
    </w:pPr>
  </w:style>
  <w:style w:type="character" w:styleId="a9">
    <w:name w:val="Hyperlink"/>
    <w:rPr>
      <w:color w:val="0000FF"/>
      <w:u w:val="single"/>
    </w:rPr>
  </w:style>
  <w:style w:type="table" w:styleId="aa">
    <w:name w:val="Table Grid"/>
    <w:basedOn w:val="a1"/>
    <w:rsid w:val="00E2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nhideWhenUsed/>
    <w:qFormat/>
    <w:rsid w:val="00CB74D6"/>
    <w:rPr>
      <w:b/>
      <w:bCs/>
      <w:sz w:val="21"/>
      <w:szCs w:val="21"/>
      <w:lang w:val="de-DE" w:eastAsia="de-DE"/>
    </w:rPr>
  </w:style>
  <w:style w:type="table" w:styleId="10">
    <w:name w:val="Table Classic 1"/>
    <w:basedOn w:val="a1"/>
    <w:rsid w:val="00CB74D6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D376-5EDD-454B-81C7-77693FC4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      </vt:lpstr>
      <vt:lpstr>       </vt:lpstr>
      <vt:lpstr>       </vt:lpstr>
    </vt:vector>
  </TitlesOfParts>
  <Company>University of Groningen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WS1</dc:creator>
  <cp:keywords/>
  <cp:lastModifiedBy>jun-oda</cp:lastModifiedBy>
  <cp:revision>16</cp:revision>
  <cp:lastPrinted>2018-12-20T23:21:00Z</cp:lastPrinted>
  <dcterms:created xsi:type="dcterms:W3CDTF">2018-12-17T11:51:00Z</dcterms:created>
  <dcterms:modified xsi:type="dcterms:W3CDTF">2018-12-20T23:21:00Z</dcterms:modified>
</cp:coreProperties>
</file>