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4.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5.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6.xml" ContentType="application/vnd.openxmlformats-officedocument.drawingml.chartshapes+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906BC" w14:textId="563F06A2" w:rsidR="00ED4351" w:rsidRPr="00207938" w:rsidRDefault="00ED4351" w:rsidP="00422D3A">
      <w:pPr>
        <w:jc w:val="center"/>
        <w:rPr>
          <w:rFonts w:ascii="Helvetica" w:hAnsi="Helvetica" w:cs="Helvetica"/>
          <w:b/>
          <w:bCs/>
          <w:color w:val="0070C0"/>
          <w:sz w:val="20"/>
          <w:szCs w:val="20"/>
        </w:rPr>
      </w:pPr>
      <w:r w:rsidRPr="00207938">
        <w:rPr>
          <w:rFonts w:ascii="Helvetica" w:hAnsi="Helvetica" w:cs="Helvetica"/>
          <w:noProof/>
          <w:sz w:val="20"/>
          <w:szCs w:val="20"/>
        </w:rPr>
        <w:drawing>
          <wp:inline distT="0" distB="0" distL="0" distR="0" wp14:anchorId="4AEE6372" wp14:editId="3669EA26">
            <wp:extent cx="2160816" cy="2362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557" cy="2373942"/>
                    </a:xfrm>
                    <a:prstGeom prst="rect">
                      <a:avLst/>
                    </a:prstGeom>
                    <a:noFill/>
                    <a:ln>
                      <a:noFill/>
                    </a:ln>
                  </pic:spPr>
                </pic:pic>
              </a:graphicData>
            </a:graphic>
          </wp:inline>
        </w:drawing>
      </w:r>
    </w:p>
    <w:p w14:paraId="2964120C" w14:textId="069E3BBB" w:rsidR="00ED4351" w:rsidRPr="00207938" w:rsidRDefault="00ED4351" w:rsidP="00ED4351">
      <w:pPr>
        <w:jc w:val="center"/>
        <w:rPr>
          <w:rFonts w:ascii="Helvetica" w:hAnsi="Helvetica" w:cs="Helvetica"/>
          <w:b/>
          <w:bCs/>
          <w:color w:val="0070C0"/>
          <w:sz w:val="20"/>
          <w:szCs w:val="20"/>
        </w:rPr>
      </w:pPr>
    </w:p>
    <w:p w14:paraId="7F150F3A" w14:textId="7F6618BF" w:rsidR="00ED4351" w:rsidRPr="00207938" w:rsidRDefault="00ED4351" w:rsidP="00ED4351">
      <w:pPr>
        <w:jc w:val="center"/>
        <w:rPr>
          <w:rFonts w:ascii="Helvetica" w:hAnsi="Helvetica" w:cs="Helvetica"/>
          <w:b/>
          <w:bCs/>
          <w:color w:val="0070C0"/>
          <w:sz w:val="20"/>
          <w:szCs w:val="20"/>
        </w:rPr>
      </w:pPr>
      <w:r w:rsidRPr="00207938">
        <w:rPr>
          <w:rFonts w:ascii="Helvetica" w:hAnsi="Helvetica" w:cs="Helvetica"/>
          <w:noProof/>
          <w:sz w:val="20"/>
          <w:szCs w:val="20"/>
        </w:rPr>
        <mc:AlternateContent>
          <mc:Choice Requires="wps">
            <w:drawing>
              <wp:anchor distT="0" distB="0" distL="114300" distR="114300" simplePos="0" relativeHeight="251659264" behindDoc="0" locked="0" layoutInCell="1" allowOverlap="1" wp14:anchorId="04337699" wp14:editId="7840DAD5">
                <wp:simplePos x="0" y="0"/>
                <wp:positionH relativeFrom="column">
                  <wp:posOffset>314325</wp:posOffset>
                </wp:positionH>
                <wp:positionV relativeFrom="paragraph">
                  <wp:posOffset>27940</wp:posOffset>
                </wp:positionV>
                <wp:extent cx="5400675" cy="19240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5400675" cy="1924050"/>
                        </a:xfrm>
                        <a:prstGeom prst="rect">
                          <a:avLst/>
                        </a:prstGeom>
                        <a:solidFill>
                          <a:sysClr val="window" lastClr="FFFFFF"/>
                        </a:solidFill>
                        <a:ln w="25400" cap="flat" cmpd="sng" algn="ctr">
                          <a:solidFill>
                            <a:srgbClr val="4F81BD"/>
                          </a:solidFill>
                          <a:prstDash val="solid"/>
                        </a:ln>
                        <a:effectLst/>
                      </wps:spPr>
                      <wps:txbx>
                        <w:txbxContent>
                          <w:p w14:paraId="55C63205" w14:textId="2BB5A62E" w:rsidR="00551C8D" w:rsidRPr="0023249B" w:rsidRDefault="00551C8D" w:rsidP="00ED4351">
                            <w:pPr>
                              <w:pStyle w:val="NormalWeb"/>
                              <w:spacing w:before="0" w:beforeAutospacing="0" w:after="160" w:afterAutospacing="0" w:line="276" w:lineRule="auto"/>
                              <w:jc w:val="center"/>
                              <w:rPr>
                                <w:rFonts w:ascii="Helvetica" w:eastAsiaTheme="minorHAnsi" w:hAnsi="Helvetica" w:cstheme="minorBidi"/>
                                <w:b/>
                                <w:bCs/>
                                <w:color w:val="0070C0"/>
                                <w:sz w:val="54"/>
                                <w:szCs w:val="54"/>
                                <w:lang w:val="en-GB"/>
                              </w:rPr>
                            </w:pPr>
                            <w:r w:rsidRPr="00ED4351">
                              <w:rPr>
                                <w:rFonts w:ascii="Helvetica" w:eastAsiaTheme="minorHAnsi" w:hAnsi="Helvetica" w:cstheme="minorBidi"/>
                                <w:b/>
                                <w:bCs/>
                                <w:color w:val="0070C0"/>
                                <w:sz w:val="54"/>
                                <w:szCs w:val="54"/>
                                <w:lang w:val="en-GB"/>
                              </w:rPr>
                              <w:t>LNG trade flows in the case of oversuppl</w:t>
                            </w:r>
                            <w:r>
                              <w:rPr>
                                <w:rFonts w:ascii="Helvetica" w:eastAsiaTheme="minorHAnsi" w:hAnsi="Helvetica" w:cstheme="minorBidi"/>
                                <w:b/>
                                <w:bCs/>
                                <w:color w:val="0070C0"/>
                                <w:sz w:val="54"/>
                                <w:szCs w:val="54"/>
                                <w:lang w:val="en-GB"/>
                              </w:rPr>
                              <w:t>ied</w:t>
                            </w:r>
                            <w:r w:rsidRPr="00ED4351">
                              <w:rPr>
                                <w:rFonts w:ascii="Helvetica" w:eastAsiaTheme="minorHAnsi" w:hAnsi="Helvetica" w:cstheme="minorBidi"/>
                                <w:b/>
                                <w:bCs/>
                                <w:color w:val="0070C0"/>
                                <w:sz w:val="54"/>
                                <w:szCs w:val="54"/>
                                <w:lang w:val="en-GB"/>
                              </w:rPr>
                              <w:t xml:space="preserve"> markets and its consequent impact on prices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37699" id="_x0000_t202" coordsize="21600,21600" o:spt="202" path="m,l,21600r21600,l21600,xe">
                <v:stroke joinstyle="miter"/>
                <v:path gradientshapeok="t" o:connecttype="rect"/>
              </v:shapetype>
              <v:shape id="Text Box 5" o:spid="_x0000_s1026" type="#_x0000_t202" style="position:absolute;left:0;text-align:left;margin-left:24.75pt;margin-top:2.2pt;width:425.25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" fillcolor="window" strokecolor="#4f81bd" strokeweight="2pt">
                <v:textbox>
                  <w:txbxContent>
                    <w:p w14:paraId="55C63205" w14:textId="2BB5A62E" w:rsidR="00551C8D" w:rsidRPr="0023249B" w:rsidRDefault="00551C8D" w:rsidP="00ED4351">
                      <w:pPr>
                        <w:pStyle w:val="NormalWeb"/>
                        <w:spacing w:before="0" w:beforeAutospacing="0" w:after="160" w:afterAutospacing="0" w:line="276" w:lineRule="auto"/>
                        <w:jc w:val="center"/>
                        <w:rPr>
                          <w:rFonts w:ascii="Helvetica" w:eastAsiaTheme="minorHAnsi" w:hAnsi="Helvetica" w:cstheme="minorBidi"/>
                          <w:b/>
                          <w:bCs/>
                          <w:color w:val="0070C0"/>
                          <w:sz w:val="54"/>
                          <w:szCs w:val="54"/>
                          <w:lang w:val="en-GB"/>
                        </w:rPr>
                      </w:pPr>
                      <w:r w:rsidRPr="00ED4351">
                        <w:rPr>
                          <w:rFonts w:ascii="Helvetica" w:eastAsiaTheme="minorHAnsi" w:hAnsi="Helvetica" w:cstheme="minorBidi"/>
                          <w:b/>
                          <w:bCs/>
                          <w:color w:val="0070C0"/>
                          <w:sz w:val="54"/>
                          <w:szCs w:val="54"/>
                          <w:lang w:val="en-GB"/>
                        </w:rPr>
                        <w:t>LNG trade flows in the case of oversuppl</w:t>
                      </w:r>
                      <w:r>
                        <w:rPr>
                          <w:rFonts w:ascii="Helvetica" w:eastAsiaTheme="minorHAnsi" w:hAnsi="Helvetica" w:cstheme="minorBidi"/>
                          <w:b/>
                          <w:bCs/>
                          <w:color w:val="0070C0"/>
                          <w:sz w:val="54"/>
                          <w:szCs w:val="54"/>
                          <w:lang w:val="en-GB"/>
                        </w:rPr>
                        <w:t>ied</w:t>
                      </w:r>
                      <w:r w:rsidRPr="00ED4351">
                        <w:rPr>
                          <w:rFonts w:ascii="Helvetica" w:eastAsiaTheme="minorHAnsi" w:hAnsi="Helvetica" w:cstheme="minorBidi"/>
                          <w:b/>
                          <w:bCs/>
                          <w:color w:val="0070C0"/>
                          <w:sz w:val="54"/>
                          <w:szCs w:val="54"/>
                          <w:lang w:val="en-GB"/>
                        </w:rPr>
                        <w:t xml:space="preserve"> markets and its consequent impact on prices</w:t>
                      </w:r>
                    </w:p>
                  </w:txbxContent>
                </v:textbox>
              </v:shape>
            </w:pict>
          </mc:Fallback>
        </mc:AlternateContent>
      </w:r>
    </w:p>
    <w:p w14:paraId="65F61F1A" w14:textId="77777777" w:rsidR="00ED4351" w:rsidRPr="00207938" w:rsidRDefault="00ED4351" w:rsidP="00ED4351">
      <w:pPr>
        <w:jc w:val="center"/>
        <w:rPr>
          <w:rFonts w:ascii="Helvetica" w:hAnsi="Helvetica" w:cs="Helvetica"/>
          <w:color w:val="0070C0"/>
          <w:sz w:val="20"/>
          <w:szCs w:val="20"/>
        </w:rPr>
      </w:pPr>
    </w:p>
    <w:p w14:paraId="2E140C2D" w14:textId="77777777" w:rsidR="00ED4351" w:rsidRPr="00207938" w:rsidRDefault="00ED4351" w:rsidP="00ED4351">
      <w:pPr>
        <w:jc w:val="center"/>
        <w:rPr>
          <w:rFonts w:ascii="Helvetica" w:hAnsi="Helvetica" w:cs="Helvetica"/>
          <w:color w:val="0070C0"/>
          <w:sz w:val="20"/>
          <w:szCs w:val="20"/>
        </w:rPr>
      </w:pPr>
    </w:p>
    <w:p w14:paraId="5223EB1F" w14:textId="77777777" w:rsidR="00ED4351" w:rsidRPr="00207938" w:rsidRDefault="00ED4351" w:rsidP="00ED4351">
      <w:pPr>
        <w:pStyle w:val="Title1"/>
        <w:spacing w:before="80" w:after="0"/>
        <w:jc w:val="center"/>
        <w:rPr>
          <w:rFonts w:ascii="Helvetica" w:hAnsi="Helvetica" w:cs="Helvetica"/>
          <w:sz w:val="44"/>
          <w:szCs w:val="44"/>
        </w:rPr>
      </w:pPr>
    </w:p>
    <w:p w14:paraId="46FFD6C2" w14:textId="77777777" w:rsidR="00ED4351" w:rsidRPr="00207938" w:rsidRDefault="00ED4351" w:rsidP="00ED4351">
      <w:pPr>
        <w:pStyle w:val="Title1"/>
        <w:spacing w:before="80" w:after="0"/>
        <w:jc w:val="center"/>
        <w:rPr>
          <w:rFonts w:ascii="Helvetica" w:hAnsi="Helvetica" w:cs="Helvetica"/>
          <w:sz w:val="44"/>
          <w:szCs w:val="44"/>
        </w:rPr>
      </w:pPr>
    </w:p>
    <w:p w14:paraId="5FDEA9CA" w14:textId="77777777" w:rsidR="00ED4351" w:rsidRPr="00207938" w:rsidRDefault="00ED4351" w:rsidP="00ED4351">
      <w:pPr>
        <w:pStyle w:val="Title1"/>
        <w:spacing w:before="80" w:after="0"/>
        <w:jc w:val="center"/>
        <w:rPr>
          <w:rFonts w:ascii="Helvetica" w:hAnsi="Helvetica" w:cs="Helvetica"/>
          <w:sz w:val="44"/>
          <w:szCs w:val="44"/>
        </w:rPr>
      </w:pPr>
    </w:p>
    <w:p w14:paraId="7C249800" w14:textId="358494EA" w:rsidR="00ED4351" w:rsidRDefault="00ED4351" w:rsidP="00ED4351">
      <w:pPr>
        <w:pStyle w:val="Title1"/>
        <w:spacing w:before="80" w:after="0"/>
        <w:jc w:val="center"/>
        <w:rPr>
          <w:rFonts w:ascii="Helvetica" w:hAnsi="Helvetica" w:cs="Helvetica"/>
          <w:sz w:val="44"/>
          <w:szCs w:val="44"/>
        </w:rPr>
      </w:pPr>
    </w:p>
    <w:p w14:paraId="3A5193CC" w14:textId="2FC80E6E" w:rsidR="00F17FE0" w:rsidRPr="00207938" w:rsidRDefault="00F17FE0" w:rsidP="00ED4351">
      <w:pPr>
        <w:pStyle w:val="Title1"/>
        <w:spacing w:before="80" w:after="0"/>
        <w:jc w:val="center"/>
        <w:rPr>
          <w:rFonts w:ascii="Helvetica" w:hAnsi="Helvetica" w:cs="Helvetica"/>
          <w:sz w:val="44"/>
          <w:szCs w:val="44"/>
        </w:rPr>
      </w:pPr>
      <w:r>
        <w:rPr>
          <w:rFonts w:ascii="Helvetica" w:hAnsi="Helvetica" w:cs="Helvetica"/>
          <w:sz w:val="44"/>
          <w:szCs w:val="44"/>
        </w:rPr>
        <w:t>Alexander Apokin, Energy Economics Analyst</w:t>
      </w:r>
    </w:p>
    <w:p w14:paraId="22E82E3D" w14:textId="77777777" w:rsidR="00ED4351" w:rsidRPr="00207938" w:rsidRDefault="00ED4351" w:rsidP="00ED4351">
      <w:pPr>
        <w:pStyle w:val="Title1"/>
        <w:spacing w:before="80" w:after="0"/>
        <w:jc w:val="center"/>
        <w:rPr>
          <w:rFonts w:ascii="Helvetica" w:hAnsi="Helvetica" w:cs="Helvetica"/>
          <w:sz w:val="44"/>
          <w:szCs w:val="44"/>
        </w:rPr>
      </w:pPr>
    </w:p>
    <w:p w14:paraId="4042A5EA" w14:textId="77777777" w:rsidR="00ED4351" w:rsidRPr="003A22DE" w:rsidRDefault="00ED4351" w:rsidP="00ED4351">
      <w:pPr>
        <w:pStyle w:val="NormalWeb"/>
        <w:spacing w:before="0" w:beforeAutospacing="0" w:after="160" w:afterAutospacing="0" w:line="276" w:lineRule="auto"/>
        <w:jc w:val="center"/>
        <w:rPr>
          <w:rFonts w:ascii="Helvetica" w:eastAsiaTheme="minorHAnsi" w:hAnsi="Helvetica" w:cs="Helvetica"/>
          <w:color w:val="0070C0"/>
          <w:sz w:val="40"/>
          <w:szCs w:val="40"/>
          <w:lang w:val="en-GB"/>
        </w:rPr>
      </w:pPr>
      <w:r w:rsidRPr="003A22DE">
        <w:rPr>
          <w:rFonts w:ascii="Helvetica" w:eastAsiaTheme="minorHAnsi" w:hAnsi="Helvetica" w:cs="Helvetica"/>
          <w:color w:val="0070C0"/>
          <w:sz w:val="40"/>
          <w:szCs w:val="40"/>
          <w:lang w:val="en-GB"/>
        </w:rPr>
        <w:t>Energy Economics and Forecasting Department (EEFD)</w:t>
      </w:r>
    </w:p>
    <w:p w14:paraId="57E3CDFC" w14:textId="30FC1285" w:rsidR="00ED4351" w:rsidRDefault="00ED4351" w:rsidP="00ED4351">
      <w:pPr>
        <w:pStyle w:val="NormalWeb"/>
        <w:spacing w:before="0" w:beforeAutospacing="0" w:after="160" w:afterAutospacing="0" w:line="276" w:lineRule="auto"/>
        <w:jc w:val="center"/>
        <w:rPr>
          <w:rFonts w:ascii="Helvetica" w:eastAsiaTheme="minorHAnsi" w:hAnsi="Helvetica" w:cs="Helvetica"/>
          <w:color w:val="0070C0"/>
          <w:sz w:val="36"/>
          <w:szCs w:val="28"/>
          <w:lang w:val="en-GB"/>
        </w:rPr>
      </w:pPr>
      <w:r>
        <w:rPr>
          <w:rFonts w:ascii="Helvetica" w:eastAsiaTheme="minorHAnsi" w:hAnsi="Helvetica" w:cs="Helvetica"/>
          <w:color w:val="0070C0"/>
          <w:sz w:val="36"/>
          <w:szCs w:val="28"/>
          <w:lang w:val="en-GB"/>
        </w:rPr>
        <w:t>March</w:t>
      </w:r>
      <w:r w:rsidRPr="00207938">
        <w:rPr>
          <w:rFonts w:ascii="Helvetica" w:eastAsiaTheme="minorHAnsi" w:hAnsi="Helvetica" w:cs="Helvetica"/>
          <w:color w:val="0070C0"/>
          <w:sz w:val="36"/>
          <w:szCs w:val="28"/>
          <w:lang w:val="en-GB"/>
        </w:rPr>
        <w:t xml:space="preserve"> 2019</w:t>
      </w:r>
    </w:p>
    <w:p w14:paraId="59621D6E" w14:textId="1F25C1AF" w:rsidR="00ED4351" w:rsidRDefault="00ED4351" w:rsidP="00ED4351">
      <w:pPr>
        <w:spacing w:after="0"/>
        <w:rPr>
          <w:rFonts w:ascii="Helvetica" w:hAnsi="Helvetica" w:cs="Helvetica"/>
          <w:color w:val="0070C0"/>
          <w:sz w:val="36"/>
          <w:szCs w:val="28"/>
          <w:lang w:val="en-GB"/>
        </w:rPr>
      </w:pPr>
    </w:p>
    <w:p w14:paraId="52A215FC" w14:textId="77777777" w:rsidR="00953AE2" w:rsidRDefault="00953AE2" w:rsidP="0044546E">
      <w:pPr>
        <w:pStyle w:val="Title3"/>
        <w:rPr>
          <w:rFonts w:asciiTheme="majorHAnsi" w:hAnsiTheme="majorHAnsi" w:cstheme="majorHAnsi"/>
          <w:szCs w:val="24"/>
        </w:rPr>
        <w:sectPr w:rsidR="00953AE2" w:rsidSect="00422D3A">
          <w:footerReference w:type="even" r:id="rId12"/>
          <w:footerReference w:type="default" r:id="rId13"/>
          <w:pgSz w:w="12240" w:h="15840"/>
          <w:pgMar w:top="1440" w:right="1440" w:bottom="1440" w:left="1440" w:header="720" w:footer="720" w:gutter="0"/>
          <w:cols w:space="720"/>
          <w:titlePg/>
          <w:docGrid w:linePitch="360"/>
        </w:sectPr>
      </w:pPr>
    </w:p>
    <w:p w14:paraId="52AC4263" w14:textId="5FAD5931" w:rsidR="00E86BEA" w:rsidRDefault="00953AE2" w:rsidP="00E86BEA">
      <w:pPr>
        <w:pStyle w:val="Heading1"/>
        <w:spacing w:before="0" w:after="240"/>
        <w:jc w:val="lowKashida"/>
        <w:rPr>
          <w:rFonts w:cstheme="majorHAnsi"/>
          <w:szCs w:val="24"/>
        </w:rPr>
      </w:pPr>
      <w:bookmarkStart w:id="0" w:name="_Toc535739935"/>
      <w:bookmarkStart w:id="1" w:name="_Toc536102699"/>
      <w:bookmarkStart w:id="2" w:name="_Toc536518111"/>
      <w:bookmarkStart w:id="3" w:name="_Toc536518989"/>
      <w:bookmarkStart w:id="4" w:name="_Toc1561768"/>
      <w:bookmarkStart w:id="5" w:name="_Toc1561830"/>
      <w:bookmarkStart w:id="6" w:name="_Toc1561871"/>
      <w:bookmarkStart w:id="7" w:name="_Toc1561951"/>
      <w:bookmarkStart w:id="8" w:name="_Toc1661441"/>
      <w:r w:rsidRPr="00381DA2">
        <w:rPr>
          <w:rFonts w:cs="Helvetica"/>
        </w:rPr>
        <w:lastRenderedPageBreak/>
        <w:t>Table of Contents</w:t>
      </w:r>
      <w:bookmarkEnd w:id="0"/>
      <w:bookmarkEnd w:id="1"/>
      <w:bookmarkEnd w:id="2"/>
      <w:bookmarkEnd w:id="3"/>
      <w:bookmarkEnd w:id="4"/>
      <w:bookmarkEnd w:id="5"/>
      <w:bookmarkEnd w:id="6"/>
      <w:bookmarkEnd w:id="7"/>
      <w:bookmarkEnd w:id="8"/>
    </w:p>
    <w:p w14:paraId="67D56CC3" w14:textId="767B215B" w:rsidR="00E86BEA" w:rsidRDefault="00E86BEA" w:rsidP="00E86BEA">
      <w:pPr>
        <w:pStyle w:val="TOC1"/>
        <w:tabs>
          <w:tab w:val="right" w:leader="dot" w:pos="9350"/>
        </w:tabs>
        <w:rPr>
          <w:noProof/>
          <w:lang w:eastAsia="en-US"/>
        </w:rPr>
      </w:pPr>
      <w:r>
        <w:rPr>
          <w:rFonts w:cstheme="majorHAnsi"/>
          <w:szCs w:val="24"/>
        </w:rPr>
        <w:fldChar w:fldCharType="begin"/>
      </w:r>
      <w:r>
        <w:rPr>
          <w:rFonts w:cstheme="majorHAnsi"/>
          <w:szCs w:val="24"/>
        </w:rPr>
        <w:instrText xml:space="preserve"> TOC \o "1-3" \h \z \u </w:instrText>
      </w:r>
      <w:r>
        <w:rPr>
          <w:rFonts w:cstheme="majorHAnsi"/>
          <w:szCs w:val="24"/>
        </w:rPr>
        <w:fldChar w:fldCharType="separate"/>
      </w:r>
    </w:p>
    <w:p w14:paraId="01BA5BF2" w14:textId="6E84F699" w:rsidR="00E86BEA" w:rsidRDefault="00DF17A2">
      <w:pPr>
        <w:pStyle w:val="TOC1"/>
        <w:tabs>
          <w:tab w:val="right" w:leader="dot" w:pos="9350"/>
        </w:tabs>
        <w:rPr>
          <w:noProof/>
          <w:lang w:eastAsia="en-US"/>
        </w:rPr>
      </w:pPr>
      <w:hyperlink w:anchor="_Toc1561833" w:history="1">
        <w:r w:rsidR="00E86BEA" w:rsidRPr="00FC4ABF">
          <w:rPr>
            <w:rStyle w:val="Hyperlink"/>
            <w:rFonts w:cs="Helvetica"/>
            <w:noProof/>
          </w:rPr>
          <w:t>Executive summary</w:t>
        </w:r>
        <w:r w:rsidR="00E86BEA">
          <w:rPr>
            <w:noProof/>
            <w:webHidden/>
          </w:rPr>
          <w:tab/>
        </w:r>
        <w:r w:rsidR="00E86BEA">
          <w:rPr>
            <w:noProof/>
            <w:webHidden/>
          </w:rPr>
          <w:fldChar w:fldCharType="begin"/>
        </w:r>
        <w:r w:rsidR="00E86BEA">
          <w:rPr>
            <w:noProof/>
            <w:webHidden/>
          </w:rPr>
          <w:instrText xml:space="preserve"> PAGEREF _Toc1561833 \h </w:instrText>
        </w:r>
        <w:r w:rsidR="00E86BEA">
          <w:rPr>
            <w:noProof/>
            <w:webHidden/>
          </w:rPr>
        </w:r>
        <w:r w:rsidR="00E86BEA">
          <w:rPr>
            <w:noProof/>
            <w:webHidden/>
          </w:rPr>
          <w:fldChar w:fldCharType="separate"/>
        </w:r>
        <w:r w:rsidR="00A20136">
          <w:rPr>
            <w:noProof/>
            <w:webHidden/>
          </w:rPr>
          <w:t>5</w:t>
        </w:r>
        <w:r w:rsidR="00E86BEA">
          <w:rPr>
            <w:noProof/>
            <w:webHidden/>
          </w:rPr>
          <w:fldChar w:fldCharType="end"/>
        </w:r>
      </w:hyperlink>
    </w:p>
    <w:p w14:paraId="656603FD" w14:textId="69048272" w:rsidR="00E86BEA" w:rsidRDefault="00DF17A2">
      <w:pPr>
        <w:pStyle w:val="TOC1"/>
        <w:tabs>
          <w:tab w:val="right" w:leader="dot" w:pos="9350"/>
        </w:tabs>
        <w:rPr>
          <w:noProof/>
          <w:lang w:eastAsia="en-US"/>
        </w:rPr>
      </w:pPr>
      <w:hyperlink w:anchor="_Toc1561834" w:history="1">
        <w:r w:rsidR="00E86BEA" w:rsidRPr="00FC4ABF">
          <w:rPr>
            <w:rStyle w:val="Hyperlink"/>
            <w:rFonts w:cs="Helvetica"/>
            <w:noProof/>
          </w:rPr>
          <w:t>Background for developing LNG oversupply scenario: market overview 2016-2018</w:t>
        </w:r>
        <w:r w:rsidR="00E86BEA">
          <w:rPr>
            <w:noProof/>
            <w:webHidden/>
          </w:rPr>
          <w:tab/>
        </w:r>
        <w:r w:rsidR="00E86BEA">
          <w:rPr>
            <w:noProof/>
            <w:webHidden/>
          </w:rPr>
          <w:fldChar w:fldCharType="begin"/>
        </w:r>
        <w:r w:rsidR="00E86BEA">
          <w:rPr>
            <w:noProof/>
            <w:webHidden/>
          </w:rPr>
          <w:instrText xml:space="preserve"> PAGEREF _Toc1561834 \h </w:instrText>
        </w:r>
        <w:r w:rsidR="00E86BEA">
          <w:rPr>
            <w:noProof/>
            <w:webHidden/>
          </w:rPr>
        </w:r>
        <w:r w:rsidR="00E86BEA">
          <w:rPr>
            <w:noProof/>
            <w:webHidden/>
          </w:rPr>
          <w:fldChar w:fldCharType="separate"/>
        </w:r>
        <w:r w:rsidR="00A20136">
          <w:rPr>
            <w:noProof/>
            <w:webHidden/>
          </w:rPr>
          <w:t>6</w:t>
        </w:r>
        <w:r w:rsidR="00E86BEA">
          <w:rPr>
            <w:noProof/>
            <w:webHidden/>
          </w:rPr>
          <w:fldChar w:fldCharType="end"/>
        </w:r>
      </w:hyperlink>
    </w:p>
    <w:p w14:paraId="15B40025" w14:textId="2E86E22E" w:rsidR="00E86BEA" w:rsidRDefault="00DF17A2">
      <w:pPr>
        <w:pStyle w:val="TOC1"/>
        <w:tabs>
          <w:tab w:val="right" w:leader="dot" w:pos="9350"/>
        </w:tabs>
        <w:rPr>
          <w:noProof/>
          <w:lang w:eastAsia="en-US"/>
        </w:rPr>
      </w:pPr>
      <w:hyperlink w:anchor="_Toc1561835" w:history="1">
        <w:r w:rsidR="00E86BEA" w:rsidRPr="00FC4ABF">
          <w:rPr>
            <w:rStyle w:val="Hyperlink"/>
            <w:rFonts w:cs="Helvetica"/>
            <w:noProof/>
          </w:rPr>
          <w:t>LNG exports vs the other options</w:t>
        </w:r>
        <w:r w:rsidR="00E86BEA">
          <w:rPr>
            <w:noProof/>
            <w:webHidden/>
          </w:rPr>
          <w:tab/>
        </w:r>
        <w:r w:rsidR="00E86BEA">
          <w:rPr>
            <w:noProof/>
            <w:webHidden/>
          </w:rPr>
          <w:fldChar w:fldCharType="begin"/>
        </w:r>
        <w:r w:rsidR="00E86BEA">
          <w:rPr>
            <w:noProof/>
            <w:webHidden/>
          </w:rPr>
          <w:instrText xml:space="preserve"> PAGEREF _Toc1561835 \h </w:instrText>
        </w:r>
        <w:r w:rsidR="00E86BEA">
          <w:rPr>
            <w:noProof/>
            <w:webHidden/>
          </w:rPr>
        </w:r>
        <w:r w:rsidR="00E86BEA">
          <w:rPr>
            <w:noProof/>
            <w:webHidden/>
          </w:rPr>
          <w:fldChar w:fldCharType="separate"/>
        </w:r>
        <w:r w:rsidR="00A20136">
          <w:rPr>
            <w:noProof/>
            <w:webHidden/>
          </w:rPr>
          <w:t>7</w:t>
        </w:r>
        <w:r w:rsidR="00E86BEA">
          <w:rPr>
            <w:noProof/>
            <w:webHidden/>
          </w:rPr>
          <w:fldChar w:fldCharType="end"/>
        </w:r>
      </w:hyperlink>
    </w:p>
    <w:p w14:paraId="35763FE4" w14:textId="19FE6E00" w:rsidR="00E86BEA" w:rsidRDefault="00DF17A2">
      <w:pPr>
        <w:pStyle w:val="TOC1"/>
        <w:tabs>
          <w:tab w:val="right" w:leader="dot" w:pos="9350"/>
        </w:tabs>
        <w:rPr>
          <w:noProof/>
          <w:lang w:eastAsia="en-US"/>
        </w:rPr>
      </w:pPr>
      <w:hyperlink w:anchor="_Toc1561836" w:history="1">
        <w:r w:rsidR="00E86BEA" w:rsidRPr="00FC4ABF">
          <w:rPr>
            <w:rStyle w:val="Hyperlink"/>
            <w:rFonts w:cs="Helvetica"/>
            <w:noProof/>
          </w:rPr>
          <w:t>Gas market forecast benchmarking for 2019-2040</w:t>
        </w:r>
        <w:r w:rsidR="00E86BEA">
          <w:rPr>
            <w:noProof/>
            <w:webHidden/>
          </w:rPr>
          <w:tab/>
        </w:r>
        <w:r w:rsidR="00E86BEA">
          <w:rPr>
            <w:noProof/>
            <w:webHidden/>
          </w:rPr>
          <w:fldChar w:fldCharType="begin"/>
        </w:r>
        <w:r w:rsidR="00E86BEA">
          <w:rPr>
            <w:noProof/>
            <w:webHidden/>
          </w:rPr>
          <w:instrText xml:space="preserve"> PAGEREF _Toc1561836 \h </w:instrText>
        </w:r>
        <w:r w:rsidR="00E86BEA">
          <w:rPr>
            <w:noProof/>
            <w:webHidden/>
          </w:rPr>
        </w:r>
        <w:r w:rsidR="00E86BEA">
          <w:rPr>
            <w:noProof/>
            <w:webHidden/>
          </w:rPr>
          <w:fldChar w:fldCharType="separate"/>
        </w:r>
        <w:r w:rsidR="00A20136">
          <w:rPr>
            <w:noProof/>
            <w:webHidden/>
          </w:rPr>
          <w:t>8</w:t>
        </w:r>
        <w:r w:rsidR="00E86BEA">
          <w:rPr>
            <w:noProof/>
            <w:webHidden/>
          </w:rPr>
          <w:fldChar w:fldCharType="end"/>
        </w:r>
      </w:hyperlink>
    </w:p>
    <w:p w14:paraId="147DED5D" w14:textId="268A197D" w:rsidR="00E86BEA" w:rsidRDefault="00DF17A2">
      <w:pPr>
        <w:pStyle w:val="TOC1"/>
        <w:tabs>
          <w:tab w:val="right" w:leader="dot" w:pos="9350"/>
        </w:tabs>
        <w:rPr>
          <w:noProof/>
          <w:lang w:eastAsia="en-US"/>
        </w:rPr>
      </w:pPr>
      <w:hyperlink w:anchor="_Toc1561837" w:history="1">
        <w:r w:rsidR="00E86BEA" w:rsidRPr="00FC4ABF">
          <w:rPr>
            <w:rStyle w:val="Hyperlink"/>
            <w:rFonts w:cs="Helvetica"/>
            <w:noProof/>
          </w:rPr>
          <w:t>Developing the oversupply scenario:</w:t>
        </w:r>
        <w:r w:rsidR="00E86BEA">
          <w:rPr>
            <w:noProof/>
            <w:webHidden/>
          </w:rPr>
          <w:tab/>
        </w:r>
        <w:r w:rsidR="00E86BEA">
          <w:rPr>
            <w:noProof/>
            <w:webHidden/>
          </w:rPr>
          <w:fldChar w:fldCharType="begin"/>
        </w:r>
        <w:r w:rsidR="00E86BEA">
          <w:rPr>
            <w:noProof/>
            <w:webHidden/>
          </w:rPr>
          <w:instrText xml:space="preserve"> PAGEREF _Toc1561837 \h </w:instrText>
        </w:r>
        <w:r w:rsidR="00E86BEA">
          <w:rPr>
            <w:noProof/>
            <w:webHidden/>
          </w:rPr>
        </w:r>
        <w:r w:rsidR="00E86BEA">
          <w:rPr>
            <w:noProof/>
            <w:webHidden/>
          </w:rPr>
          <w:fldChar w:fldCharType="separate"/>
        </w:r>
        <w:r w:rsidR="00A20136">
          <w:rPr>
            <w:noProof/>
            <w:webHidden/>
          </w:rPr>
          <w:t>10</w:t>
        </w:r>
        <w:r w:rsidR="00E86BEA">
          <w:rPr>
            <w:noProof/>
            <w:webHidden/>
          </w:rPr>
          <w:fldChar w:fldCharType="end"/>
        </w:r>
      </w:hyperlink>
    </w:p>
    <w:p w14:paraId="3E07D2F7" w14:textId="029EB5CA" w:rsidR="00E86BEA" w:rsidRDefault="00DF17A2">
      <w:pPr>
        <w:pStyle w:val="TOC1"/>
        <w:tabs>
          <w:tab w:val="right" w:leader="dot" w:pos="9350"/>
        </w:tabs>
        <w:rPr>
          <w:noProof/>
          <w:lang w:eastAsia="en-US"/>
        </w:rPr>
      </w:pPr>
      <w:hyperlink w:anchor="_Toc1561838" w:history="1">
        <w:r w:rsidR="00E86BEA" w:rsidRPr="00FC4ABF">
          <w:rPr>
            <w:rStyle w:val="Hyperlink"/>
            <w:rFonts w:cs="Helvetica"/>
            <w:noProof/>
          </w:rPr>
          <w:t>Modelling oversupply with GGM:</w:t>
        </w:r>
        <w:r w:rsidR="00E86BEA">
          <w:rPr>
            <w:noProof/>
            <w:webHidden/>
          </w:rPr>
          <w:tab/>
        </w:r>
        <w:r w:rsidR="00E86BEA">
          <w:rPr>
            <w:noProof/>
            <w:webHidden/>
          </w:rPr>
          <w:fldChar w:fldCharType="begin"/>
        </w:r>
        <w:r w:rsidR="00E86BEA">
          <w:rPr>
            <w:noProof/>
            <w:webHidden/>
          </w:rPr>
          <w:instrText xml:space="preserve"> PAGEREF _Toc1561838 \h </w:instrText>
        </w:r>
        <w:r w:rsidR="00E86BEA">
          <w:rPr>
            <w:noProof/>
            <w:webHidden/>
          </w:rPr>
        </w:r>
        <w:r w:rsidR="00E86BEA">
          <w:rPr>
            <w:noProof/>
            <w:webHidden/>
          </w:rPr>
          <w:fldChar w:fldCharType="separate"/>
        </w:r>
        <w:r w:rsidR="00A20136">
          <w:rPr>
            <w:noProof/>
            <w:webHidden/>
          </w:rPr>
          <w:t>11</w:t>
        </w:r>
        <w:r w:rsidR="00E86BEA">
          <w:rPr>
            <w:noProof/>
            <w:webHidden/>
          </w:rPr>
          <w:fldChar w:fldCharType="end"/>
        </w:r>
      </w:hyperlink>
    </w:p>
    <w:p w14:paraId="4D3520D3" w14:textId="1FE83DD3" w:rsidR="00E86BEA" w:rsidRDefault="00DF17A2">
      <w:pPr>
        <w:pStyle w:val="TOC1"/>
        <w:tabs>
          <w:tab w:val="right" w:leader="dot" w:pos="9350"/>
        </w:tabs>
        <w:rPr>
          <w:noProof/>
          <w:lang w:eastAsia="en-US"/>
        </w:rPr>
      </w:pPr>
      <w:hyperlink w:anchor="_Toc1561839" w:history="1">
        <w:r w:rsidR="00E86BEA" w:rsidRPr="00FC4ABF">
          <w:rPr>
            <w:rStyle w:val="Hyperlink"/>
            <w:rFonts w:cs="Helvetica"/>
            <w:noProof/>
          </w:rPr>
          <w:t>Quantifying scenario assumptions</w:t>
        </w:r>
        <w:r w:rsidR="00E86BEA">
          <w:rPr>
            <w:noProof/>
            <w:webHidden/>
          </w:rPr>
          <w:tab/>
        </w:r>
        <w:r w:rsidR="00E86BEA">
          <w:rPr>
            <w:noProof/>
            <w:webHidden/>
          </w:rPr>
          <w:fldChar w:fldCharType="begin"/>
        </w:r>
        <w:r w:rsidR="00E86BEA">
          <w:rPr>
            <w:noProof/>
            <w:webHidden/>
          </w:rPr>
          <w:instrText xml:space="preserve"> PAGEREF _Toc1561839 \h </w:instrText>
        </w:r>
        <w:r w:rsidR="00E86BEA">
          <w:rPr>
            <w:noProof/>
            <w:webHidden/>
          </w:rPr>
        </w:r>
        <w:r w:rsidR="00E86BEA">
          <w:rPr>
            <w:noProof/>
            <w:webHidden/>
          </w:rPr>
          <w:fldChar w:fldCharType="separate"/>
        </w:r>
        <w:r w:rsidR="00A20136">
          <w:rPr>
            <w:noProof/>
            <w:webHidden/>
          </w:rPr>
          <w:t>12</w:t>
        </w:r>
        <w:r w:rsidR="00E86BEA">
          <w:rPr>
            <w:noProof/>
            <w:webHidden/>
          </w:rPr>
          <w:fldChar w:fldCharType="end"/>
        </w:r>
      </w:hyperlink>
    </w:p>
    <w:p w14:paraId="0A39295B" w14:textId="1365166A" w:rsidR="00E86BEA" w:rsidRDefault="00DF17A2">
      <w:pPr>
        <w:pStyle w:val="TOC1"/>
        <w:tabs>
          <w:tab w:val="right" w:leader="dot" w:pos="9350"/>
        </w:tabs>
        <w:rPr>
          <w:noProof/>
          <w:lang w:eastAsia="en-US"/>
        </w:rPr>
      </w:pPr>
      <w:hyperlink w:anchor="_Toc1561840" w:history="1">
        <w:r w:rsidR="00E86BEA" w:rsidRPr="00FC4ABF">
          <w:rPr>
            <w:rStyle w:val="Hyperlink"/>
            <w:rFonts w:cs="Helvetica"/>
            <w:noProof/>
          </w:rPr>
          <w:t>Scenario modelling results</w:t>
        </w:r>
        <w:r w:rsidR="00E86BEA">
          <w:rPr>
            <w:noProof/>
            <w:webHidden/>
          </w:rPr>
          <w:tab/>
        </w:r>
        <w:r w:rsidR="00E86BEA">
          <w:rPr>
            <w:noProof/>
            <w:webHidden/>
          </w:rPr>
          <w:fldChar w:fldCharType="begin"/>
        </w:r>
        <w:r w:rsidR="00E86BEA">
          <w:rPr>
            <w:noProof/>
            <w:webHidden/>
          </w:rPr>
          <w:instrText xml:space="preserve"> PAGEREF _Toc1561840 \h </w:instrText>
        </w:r>
        <w:r w:rsidR="00E86BEA">
          <w:rPr>
            <w:noProof/>
            <w:webHidden/>
          </w:rPr>
        </w:r>
        <w:r w:rsidR="00E86BEA">
          <w:rPr>
            <w:noProof/>
            <w:webHidden/>
          </w:rPr>
          <w:fldChar w:fldCharType="separate"/>
        </w:r>
        <w:r w:rsidR="00A20136">
          <w:rPr>
            <w:noProof/>
            <w:webHidden/>
          </w:rPr>
          <w:t>12</w:t>
        </w:r>
        <w:r w:rsidR="00E86BEA">
          <w:rPr>
            <w:noProof/>
            <w:webHidden/>
          </w:rPr>
          <w:fldChar w:fldCharType="end"/>
        </w:r>
      </w:hyperlink>
    </w:p>
    <w:p w14:paraId="4DF42E59" w14:textId="78E7555C" w:rsidR="00E86BEA" w:rsidRDefault="00DF17A2">
      <w:pPr>
        <w:pStyle w:val="TOC1"/>
        <w:tabs>
          <w:tab w:val="right" w:leader="dot" w:pos="9350"/>
        </w:tabs>
        <w:rPr>
          <w:noProof/>
          <w:lang w:eastAsia="en-US"/>
        </w:rPr>
      </w:pPr>
      <w:hyperlink w:anchor="_Toc1561841" w:history="1">
        <w:r w:rsidR="00E86BEA" w:rsidRPr="00FC4ABF">
          <w:rPr>
            <w:rStyle w:val="Hyperlink"/>
            <w:rFonts w:cs="Helvetica"/>
            <w:noProof/>
          </w:rPr>
          <w:t>Conclusions and policy implications</w:t>
        </w:r>
        <w:r w:rsidR="00E86BEA">
          <w:rPr>
            <w:noProof/>
            <w:webHidden/>
          </w:rPr>
          <w:tab/>
        </w:r>
        <w:r w:rsidR="00E86BEA">
          <w:rPr>
            <w:noProof/>
            <w:webHidden/>
          </w:rPr>
          <w:fldChar w:fldCharType="begin"/>
        </w:r>
        <w:r w:rsidR="00E86BEA">
          <w:rPr>
            <w:noProof/>
            <w:webHidden/>
          </w:rPr>
          <w:instrText xml:space="preserve"> PAGEREF _Toc1561841 \h </w:instrText>
        </w:r>
        <w:r w:rsidR="00E86BEA">
          <w:rPr>
            <w:noProof/>
            <w:webHidden/>
          </w:rPr>
        </w:r>
        <w:r w:rsidR="00E86BEA">
          <w:rPr>
            <w:noProof/>
            <w:webHidden/>
          </w:rPr>
          <w:fldChar w:fldCharType="separate"/>
        </w:r>
        <w:r w:rsidR="00A20136">
          <w:rPr>
            <w:noProof/>
            <w:webHidden/>
          </w:rPr>
          <w:t>14</w:t>
        </w:r>
        <w:r w:rsidR="00E86BEA">
          <w:rPr>
            <w:noProof/>
            <w:webHidden/>
          </w:rPr>
          <w:fldChar w:fldCharType="end"/>
        </w:r>
      </w:hyperlink>
    </w:p>
    <w:p w14:paraId="2BA2DF34" w14:textId="11CA9A6C" w:rsidR="00E86BEA" w:rsidRDefault="00DF17A2">
      <w:pPr>
        <w:pStyle w:val="TOC1"/>
        <w:tabs>
          <w:tab w:val="right" w:leader="dot" w:pos="9350"/>
        </w:tabs>
        <w:rPr>
          <w:noProof/>
          <w:lang w:eastAsia="en-US"/>
        </w:rPr>
      </w:pPr>
      <w:hyperlink w:anchor="_Toc1561842" w:history="1">
        <w:r w:rsidR="00E86BEA" w:rsidRPr="00FC4ABF">
          <w:rPr>
            <w:rStyle w:val="Hyperlink"/>
            <w:rFonts w:cs="Helvetica"/>
            <w:noProof/>
          </w:rPr>
          <w:t>Annex</w:t>
        </w:r>
        <w:r w:rsidR="00E86BEA">
          <w:rPr>
            <w:noProof/>
            <w:webHidden/>
          </w:rPr>
          <w:tab/>
        </w:r>
        <w:r w:rsidR="00E86BEA">
          <w:rPr>
            <w:noProof/>
            <w:webHidden/>
          </w:rPr>
          <w:fldChar w:fldCharType="begin"/>
        </w:r>
        <w:r w:rsidR="00E86BEA">
          <w:rPr>
            <w:noProof/>
            <w:webHidden/>
          </w:rPr>
          <w:instrText xml:space="preserve"> PAGEREF _Toc1561842 \h </w:instrText>
        </w:r>
        <w:r w:rsidR="00E86BEA">
          <w:rPr>
            <w:noProof/>
            <w:webHidden/>
          </w:rPr>
        </w:r>
        <w:r w:rsidR="00E86BEA">
          <w:rPr>
            <w:noProof/>
            <w:webHidden/>
          </w:rPr>
          <w:fldChar w:fldCharType="separate"/>
        </w:r>
        <w:r w:rsidR="00A20136">
          <w:rPr>
            <w:noProof/>
            <w:webHidden/>
          </w:rPr>
          <w:t>16</w:t>
        </w:r>
        <w:r w:rsidR="00E86BEA">
          <w:rPr>
            <w:noProof/>
            <w:webHidden/>
          </w:rPr>
          <w:fldChar w:fldCharType="end"/>
        </w:r>
      </w:hyperlink>
    </w:p>
    <w:p w14:paraId="7980324F" w14:textId="0284BEB1" w:rsidR="00953AE2" w:rsidRDefault="00E86BEA" w:rsidP="00E86BEA">
      <w:pPr>
        <w:pStyle w:val="Heading1"/>
        <w:spacing w:before="0" w:after="240"/>
        <w:jc w:val="lowKashida"/>
        <w:rPr>
          <w:rFonts w:cstheme="majorHAnsi"/>
          <w:szCs w:val="24"/>
        </w:rPr>
      </w:pPr>
      <w:r>
        <w:rPr>
          <w:rFonts w:cstheme="majorHAnsi"/>
          <w:szCs w:val="24"/>
        </w:rPr>
        <w:fldChar w:fldCharType="end"/>
      </w:r>
    </w:p>
    <w:p w14:paraId="69265CB8" w14:textId="77777777" w:rsidR="00E86BEA" w:rsidRPr="00E86BEA" w:rsidRDefault="00E86BEA" w:rsidP="00E86BEA">
      <w:pPr>
        <w:sectPr w:rsidR="00E86BEA" w:rsidRPr="00E86BEA">
          <w:pgSz w:w="12240" w:h="15840"/>
          <w:pgMar w:top="1440" w:right="1440" w:bottom="1440" w:left="1440" w:header="720" w:footer="720" w:gutter="0"/>
          <w:cols w:space="720"/>
          <w:docGrid w:linePitch="360"/>
        </w:sectPr>
      </w:pPr>
    </w:p>
    <w:p w14:paraId="3311D264" w14:textId="77777777" w:rsidR="000934D7" w:rsidRDefault="00953AE2" w:rsidP="00E86BEA">
      <w:pPr>
        <w:pStyle w:val="Heading1"/>
        <w:spacing w:after="240"/>
        <w:jc w:val="lowKashida"/>
        <w:rPr>
          <w:noProof/>
        </w:rPr>
      </w:pPr>
      <w:bookmarkStart w:id="9" w:name="_Toc535396800"/>
      <w:bookmarkStart w:id="10" w:name="_Toc535739936"/>
      <w:bookmarkStart w:id="11" w:name="_Toc536518990"/>
      <w:bookmarkStart w:id="12" w:name="_Toc1561769"/>
      <w:bookmarkStart w:id="13" w:name="_Toc1561831"/>
      <w:bookmarkStart w:id="14" w:name="_Toc1561872"/>
      <w:bookmarkStart w:id="15" w:name="_Toc1561952"/>
      <w:bookmarkStart w:id="16" w:name="_Toc1661442"/>
      <w:r>
        <w:rPr>
          <w:rFonts w:cs="Helvetica"/>
        </w:rPr>
        <w:lastRenderedPageBreak/>
        <w:t>List</w:t>
      </w:r>
      <w:r w:rsidRPr="00381DA2">
        <w:rPr>
          <w:rFonts w:cs="Helvetica"/>
        </w:rPr>
        <w:t xml:space="preserve"> of </w:t>
      </w:r>
      <w:r>
        <w:rPr>
          <w:rFonts w:cs="Helvetica"/>
        </w:rPr>
        <w:t>Figures</w:t>
      </w:r>
      <w:bookmarkEnd w:id="9"/>
      <w:bookmarkEnd w:id="10"/>
      <w:bookmarkEnd w:id="11"/>
      <w:bookmarkEnd w:id="12"/>
      <w:bookmarkEnd w:id="13"/>
      <w:bookmarkEnd w:id="14"/>
      <w:bookmarkEnd w:id="15"/>
      <w:bookmarkEnd w:id="16"/>
      <w:r w:rsidR="00E86BEA">
        <w:rPr>
          <w:rFonts w:ascii="Helvetica" w:hAnsi="Helvetica"/>
          <w:bCs/>
          <w:noProof/>
        </w:rPr>
        <w:fldChar w:fldCharType="begin"/>
      </w:r>
      <w:r w:rsidR="00E86BEA">
        <w:rPr>
          <w:rFonts w:ascii="Helvetica" w:hAnsi="Helvetica"/>
          <w:bCs/>
          <w:noProof/>
        </w:rPr>
        <w:instrText xml:space="preserve"> TOC \o "1-4" \h \z \u </w:instrText>
      </w:r>
      <w:r w:rsidR="00E86BEA">
        <w:rPr>
          <w:rFonts w:ascii="Helvetica" w:hAnsi="Helvetica"/>
          <w:bCs/>
          <w:noProof/>
        </w:rPr>
        <w:fldChar w:fldCharType="separate"/>
      </w:r>
    </w:p>
    <w:p w14:paraId="07DD0B7F" w14:textId="0BFFF17C" w:rsidR="000934D7" w:rsidRDefault="00DF17A2">
      <w:pPr>
        <w:pStyle w:val="TOC4"/>
        <w:tabs>
          <w:tab w:val="right" w:leader="dot" w:pos="9350"/>
        </w:tabs>
        <w:rPr>
          <w:rFonts w:eastAsiaTheme="minorEastAsia"/>
          <w:noProof/>
        </w:rPr>
      </w:pPr>
      <w:hyperlink w:anchor="_Toc1661446" w:history="1">
        <w:r w:rsidR="000934D7" w:rsidRPr="00891E35">
          <w:rPr>
            <w:rStyle w:val="Hyperlink"/>
            <w:noProof/>
          </w:rPr>
          <w:t>Figure 1. LNG historical prices, $/mmbtu</w:t>
        </w:r>
        <w:r w:rsidR="000934D7">
          <w:rPr>
            <w:noProof/>
            <w:webHidden/>
          </w:rPr>
          <w:tab/>
        </w:r>
        <w:r w:rsidR="000934D7">
          <w:rPr>
            <w:noProof/>
            <w:webHidden/>
          </w:rPr>
          <w:fldChar w:fldCharType="begin"/>
        </w:r>
        <w:r w:rsidR="000934D7">
          <w:rPr>
            <w:noProof/>
            <w:webHidden/>
          </w:rPr>
          <w:instrText xml:space="preserve"> PAGEREF _Toc1661446 \h </w:instrText>
        </w:r>
        <w:r w:rsidR="000934D7">
          <w:rPr>
            <w:noProof/>
            <w:webHidden/>
          </w:rPr>
        </w:r>
        <w:r w:rsidR="000934D7">
          <w:rPr>
            <w:noProof/>
            <w:webHidden/>
          </w:rPr>
          <w:fldChar w:fldCharType="separate"/>
        </w:r>
        <w:r w:rsidR="000934D7">
          <w:rPr>
            <w:noProof/>
            <w:webHidden/>
          </w:rPr>
          <w:t>7</w:t>
        </w:r>
        <w:r w:rsidR="000934D7">
          <w:rPr>
            <w:noProof/>
            <w:webHidden/>
          </w:rPr>
          <w:fldChar w:fldCharType="end"/>
        </w:r>
      </w:hyperlink>
    </w:p>
    <w:p w14:paraId="48CC3C46" w14:textId="0C15CC04" w:rsidR="000934D7" w:rsidRDefault="00DF17A2">
      <w:pPr>
        <w:pStyle w:val="TOC4"/>
        <w:tabs>
          <w:tab w:val="right" w:leader="dot" w:pos="9350"/>
        </w:tabs>
        <w:rPr>
          <w:rFonts w:eastAsiaTheme="minorEastAsia"/>
          <w:noProof/>
        </w:rPr>
      </w:pPr>
      <w:hyperlink w:anchor="_Toc1661460" w:history="1">
        <w:r w:rsidR="000934D7" w:rsidRPr="00891E35">
          <w:rPr>
            <w:rStyle w:val="Hyperlink"/>
            <w:noProof/>
          </w:rPr>
          <w:t>Figure 2. LNG projected prices in case of oversupply, $/mmbtu</w:t>
        </w:r>
        <w:r w:rsidR="000934D7">
          <w:rPr>
            <w:noProof/>
            <w:webHidden/>
          </w:rPr>
          <w:tab/>
        </w:r>
        <w:r w:rsidR="000934D7">
          <w:rPr>
            <w:noProof/>
            <w:webHidden/>
          </w:rPr>
          <w:fldChar w:fldCharType="begin"/>
        </w:r>
        <w:r w:rsidR="000934D7">
          <w:rPr>
            <w:noProof/>
            <w:webHidden/>
          </w:rPr>
          <w:instrText xml:space="preserve"> PAGEREF _Toc1661460 \h </w:instrText>
        </w:r>
        <w:r w:rsidR="000934D7">
          <w:rPr>
            <w:noProof/>
            <w:webHidden/>
          </w:rPr>
        </w:r>
        <w:r w:rsidR="000934D7">
          <w:rPr>
            <w:noProof/>
            <w:webHidden/>
          </w:rPr>
          <w:fldChar w:fldCharType="separate"/>
        </w:r>
        <w:r w:rsidR="000934D7">
          <w:rPr>
            <w:noProof/>
            <w:webHidden/>
          </w:rPr>
          <w:t>15</w:t>
        </w:r>
        <w:r w:rsidR="000934D7">
          <w:rPr>
            <w:noProof/>
            <w:webHidden/>
          </w:rPr>
          <w:fldChar w:fldCharType="end"/>
        </w:r>
      </w:hyperlink>
    </w:p>
    <w:p w14:paraId="5E31254A" w14:textId="6A46AF48" w:rsidR="000934D7" w:rsidRDefault="00DF17A2">
      <w:pPr>
        <w:pStyle w:val="TOC4"/>
        <w:tabs>
          <w:tab w:val="right" w:leader="dot" w:pos="9350"/>
        </w:tabs>
        <w:rPr>
          <w:rFonts w:eastAsiaTheme="minorEastAsia"/>
          <w:noProof/>
        </w:rPr>
      </w:pPr>
      <w:hyperlink w:anchor="_Toc1661461" w:history="1">
        <w:r w:rsidR="000934D7" w:rsidRPr="00891E35">
          <w:rPr>
            <w:rStyle w:val="Hyperlink"/>
            <w:noProof/>
          </w:rPr>
          <w:t>Figure 3. LNG projected prices in case of oversupply vs. Ref Case, $/mmbtu</w:t>
        </w:r>
        <w:r w:rsidR="000934D7">
          <w:rPr>
            <w:noProof/>
            <w:webHidden/>
          </w:rPr>
          <w:tab/>
        </w:r>
        <w:r w:rsidR="000934D7">
          <w:rPr>
            <w:noProof/>
            <w:webHidden/>
          </w:rPr>
          <w:fldChar w:fldCharType="begin"/>
        </w:r>
        <w:r w:rsidR="000934D7">
          <w:rPr>
            <w:noProof/>
            <w:webHidden/>
          </w:rPr>
          <w:instrText xml:space="preserve"> PAGEREF _Toc1661461 \h </w:instrText>
        </w:r>
        <w:r w:rsidR="000934D7">
          <w:rPr>
            <w:noProof/>
            <w:webHidden/>
          </w:rPr>
        </w:r>
        <w:r w:rsidR="000934D7">
          <w:rPr>
            <w:noProof/>
            <w:webHidden/>
          </w:rPr>
          <w:fldChar w:fldCharType="separate"/>
        </w:r>
        <w:r w:rsidR="000934D7">
          <w:rPr>
            <w:noProof/>
            <w:webHidden/>
          </w:rPr>
          <w:t>15</w:t>
        </w:r>
        <w:r w:rsidR="000934D7">
          <w:rPr>
            <w:noProof/>
            <w:webHidden/>
          </w:rPr>
          <w:fldChar w:fldCharType="end"/>
        </w:r>
      </w:hyperlink>
    </w:p>
    <w:p w14:paraId="00F81C7F" w14:textId="4DC10A36" w:rsidR="0046006F" w:rsidRDefault="00E86BEA" w:rsidP="00854FEA">
      <w:pPr>
        <w:pStyle w:val="TOC4"/>
        <w:tabs>
          <w:tab w:val="right" w:leader="dot" w:pos="9350"/>
        </w:tabs>
        <w:rPr>
          <w:rFonts w:ascii="Helvetica" w:hAnsi="Helvetica"/>
          <w:bCs/>
          <w:noProof/>
        </w:rPr>
      </w:pPr>
      <w:r>
        <w:rPr>
          <w:rFonts w:ascii="Helvetica" w:hAnsi="Helvetica"/>
          <w:bCs/>
          <w:noProof/>
        </w:rPr>
        <w:fldChar w:fldCharType="end"/>
      </w:r>
      <w:bookmarkStart w:id="17" w:name="_Toc535396801"/>
      <w:bookmarkStart w:id="18" w:name="_Toc535739937"/>
      <w:bookmarkStart w:id="19" w:name="_Toc536518991"/>
    </w:p>
    <w:p w14:paraId="7A80F88E" w14:textId="77777777" w:rsidR="00854FEA" w:rsidRDefault="00854FEA" w:rsidP="00854FEA">
      <w:pPr>
        <w:pStyle w:val="Heading1"/>
        <w:spacing w:after="240"/>
        <w:jc w:val="lowKashida"/>
        <w:rPr>
          <w:rFonts w:cs="Helvetica"/>
        </w:rPr>
      </w:pPr>
      <w:bookmarkStart w:id="20" w:name="_Toc1561770"/>
      <w:bookmarkStart w:id="21" w:name="_Toc1561832"/>
      <w:bookmarkStart w:id="22" w:name="_Toc1561873"/>
      <w:bookmarkStart w:id="23" w:name="_Toc1561953"/>
    </w:p>
    <w:p w14:paraId="361EC575" w14:textId="12163F24" w:rsidR="00D46B4E" w:rsidRDefault="00953AE2" w:rsidP="00854FEA">
      <w:pPr>
        <w:pStyle w:val="Heading1"/>
        <w:spacing w:after="240"/>
        <w:jc w:val="lowKashida"/>
        <w:rPr>
          <w:noProof/>
        </w:rPr>
      </w:pPr>
      <w:bookmarkStart w:id="24" w:name="_Toc1661443"/>
      <w:r>
        <w:rPr>
          <w:rFonts w:cs="Helvetica"/>
        </w:rPr>
        <w:t>List</w:t>
      </w:r>
      <w:r w:rsidRPr="00381DA2">
        <w:rPr>
          <w:rFonts w:cs="Helvetica"/>
        </w:rPr>
        <w:t xml:space="preserve"> of </w:t>
      </w:r>
      <w:r>
        <w:rPr>
          <w:rFonts w:cs="Helvetica"/>
        </w:rPr>
        <w:t>Tables</w:t>
      </w:r>
      <w:bookmarkEnd w:id="17"/>
      <w:bookmarkEnd w:id="18"/>
      <w:bookmarkEnd w:id="19"/>
      <w:bookmarkEnd w:id="20"/>
      <w:bookmarkEnd w:id="21"/>
      <w:bookmarkEnd w:id="22"/>
      <w:bookmarkEnd w:id="23"/>
      <w:bookmarkEnd w:id="24"/>
      <w:r w:rsidR="00E86BEA">
        <w:rPr>
          <w:rStyle w:val="Hyperlink"/>
          <w:noProof/>
        </w:rPr>
        <w:fldChar w:fldCharType="begin"/>
      </w:r>
      <w:r w:rsidR="00E86BEA">
        <w:rPr>
          <w:rStyle w:val="Hyperlink"/>
          <w:noProof/>
        </w:rPr>
        <w:instrText xml:space="preserve"> TOC \o "1-4" \h \z \u </w:instrText>
      </w:r>
      <w:r w:rsidR="00E86BEA">
        <w:rPr>
          <w:rStyle w:val="Hyperlink"/>
          <w:noProof/>
        </w:rPr>
        <w:fldChar w:fldCharType="separate"/>
      </w:r>
    </w:p>
    <w:p w14:paraId="5589F72A" w14:textId="18C18982" w:rsidR="00D46B4E" w:rsidRDefault="00DF17A2">
      <w:pPr>
        <w:pStyle w:val="TOC4"/>
        <w:tabs>
          <w:tab w:val="right" w:leader="dot" w:pos="9350"/>
        </w:tabs>
        <w:rPr>
          <w:rFonts w:eastAsiaTheme="minorEastAsia"/>
          <w:noProof/>
        </w:rPr>
      </w:pPr>
      <w:hyperlink w:anchor="_Toc1561957" w:history="1">
        <w:r w:rsidR="00D46B4E" w:rsidRPr="00D27DE1">
          <w:rPr>
            <w:rStyle w:val="Hyperlink"/>
            <w:noProof/>
          </w:rPr>
          <w:t>Table 1: Announced and upcoming LNG projects</w:t>
        </w:r>
        <w:r w:rsidR="00D46B4E">
          <w:rPr>
            <w:noProof/>
            <w:webHidden/>
          </w:rPr>
          <w:tab/>
        </w:r>
        <w:r w:rsidR="00D46B4E">
          <w:rPr>
            <w:noProof/>
            <w:webHidden/>
          </w:rPr>
          <w:fldChar w:fldCharType="begin"/>
        </w:r>
        <w:r w:rsidR="00D46B4E">
          <w:rPr>
            <w:noProof/>
            <w:webHidden/>
          </w:rPr>
          <w:instrText xml:space="preserve"> PAGEREF _Toc1561957 \h </w:instrText>
        </w:r>
        <w:r w:rsidR="00D46B4E">
          <w:rPr>
            <w:noProof/>
            <w:webHidden/>
          </w:rPr>
        </w:r>
        <w:r w:rsidR="00D46B4E">
          <w:rPr>
            <w:noProof/>
            <w:webHidden/>
          </w:rPr>
          <w:fldChar w:fldCharType="separate"/>
        </w:r>
        <w:r w:rsidR="00A20136">
          <w:rPr>
            <w:noProof/>
            <w:webHidden/>
          </w:rPr>
          <w:t>7</w:t>
        </w:r>
        <w:r w:rsidR="00D46B4E">
          <w:rPr>
            <w:noProof/>
            <w:webHidden/>
          </w:rPr>
          <w:fldChar w:fldCharType="end"/>
        </w:r>
      </w:hyperlink>
    </w:p>
    <w:p w14:paraId="167BAD65" w14:textId="48C86F67" w:rsidR="00D46B4E" w:rsidRDefault="00DF17A2">
      <w:pPr>
        <w:pStyle w:val="TOC4"/>
        <w:tabs>
          <w:tab w:val="right" w:leader="dot" w:pos="9350"/>
        </w:tabs>
        <w:rPr>
          <w:rFonts w:eastAsiaTheme="minorEastAsia"/>
          <w:noProof/>
        </w:rPr>
      </w:pPr>
      <w:hyperlink w:anchor="_Toc1561959" w:history="1">
        <w:r w:rsidR="00D46B4E" w:rsidRPr="00D27DE1">
          <w:rPr>
            <w:rStyle w:val="Hyperlink"/>
            <w:noProof/>
          </w:rPr>
          <w:t>Table 2: Options for monetizing gas reserves</w:t>
        </w:r>
        <w:r w:rsidR="00D46B4E">
          <w:rPr>
            <w:noProof/>
            <w:webHidden/>
          </w:rPr>
          <w:tab/>
        </w:r>
        <w:r w:rsidR="00D46B4E">
          <w:rPr>
            <w:noProof/>
            <w:webHidden/>
          </w:rPr>
          <w:fldChar w:fldCharType="begin"/>
        </w:r>
        <w:r w:rsidR="00D46B4E">
          <w:rPr>
            <w:noProof/>
            <w:webHidden/>
          </w:rPr>
          <w:instrText xml:space="preserve"> PAGEREF _Toc1561959 \h </w:instrText>
        </w:r>
        <w:r w:rsidR="00D46B4E">
          <w:rPr>
            <w:noProof/>
            <w:webHidden/>
          </w:rPr>
        </w:r>
        <w:r w:rsidR="00D46B4E">
          <w:rPr>
            <w:noProof/>
            <w:webHidden/>
          </w:rPr>
          <w:fldChar w:fldCharType="separate"/>
        </w:r>
        <w:r w:rsidR="00A20136">
          <w:rPr>
            <w:noProof/>
            <w:webHidden/>
          </w:rPr>
          <w:t>7</w:t>
        </w:r>
        <w:r w:rsidR="00D46B4E">
          <w:rPr>
            <w:noProof/>
            <w:webHidden/>
          </w:rPr>
          <w:fldChar w:fldCharType="end"/>
        </w:r>
      </w:hyperlink>
    </w:p>
    <w:p w14:paraId="1FE7495D" w14:textId="18AA9476" w:rsidR="00D46B4E" w:rsidRDefault="00DF17A2">
      <w:pPr>
        <w:pStyle w:val="TOC4"/>
        <w:tabs>
          <w:tab w:val="right" w:leader="dot" w:pos="9350"/>
        </w:tabs>
        <w:rPr>
          <w:rFonts w:eastAsiaTheme="minorEastAsia"/>
          <w:noProof/>
        </w:rPr>
      </w:pPr>
      <w:hyperlink w:anchor="_Toc1561961" w:history="1">
        <w:r w:rsidR="00D46B4E" w:rsidRPr="00D27DE1">
          <w:rPr>
            <w:rStyle w:val="Hyperlink"/>
            <w:noProof/>
          </w:rPr>
          <w:t>Table 3: GECF’s GGO Ref. Case gas trade projection (bcm)</w:t>
        </w:r>
        <w:r w:rsidR="00D46B4E">
          <w:rPr>
            <w:noProof/>
            <w:webHidden/>
          </w:rPr>
          <w:tab/>
        </w:r>
        <w:r w:rsidR="00D46B4E">
          <w:rPr>
            <w:noProof/>
            <w:webHidden/>
          </w:rPr>
          <w:fldChar w:fldCharType="begin"/>
        </w:r>
        <w:r w:rsidR="00D46B4E">
          <w:rPr>
            <w:noProof/>
            <w:webHidden/>
          </w:rPr>
          <w:instrText xml:space="preserve"> PAGEREF _Toc1561961 \h </w:instrText>
        </w:r>
        <w:r w:rsidR="00D46B4E">
          <w:rPr>
            <w:noProof/>
            <w:webHidden/>
          </w:rPr>
        </w:r>
        <w:r w:rsidR="00D46B4E">
          <w:rPr>
            <w:noProof/>
            <w:webHidden/>
          </w:rPr>
          <w:fldChar w:fldCharType="separate"/>
        </w:r>
        <w:r w:rsidR="00A20136">
          <w:rPr>
            <w:noProof/>
            <w:webHidden/>
          </w:rPr>
          <w:t>8</w:t>
        </w:r>
        <w:r w:rsidR="00D46B4E">
          <w:rPr>
            <w:noProof/>
            <w:webHidden/>
          </w:rPr>
          <w:fldChar w:fldCharType="end"/>
        </w:r>
      </w:hyperlink>
    </w:p>
    <w:p w14:paraId="06F631B5" w14:textId="310FCD93" w:rsidR="00D46B4E" w:rsidRDefault="00DF17A2">
      <w:pPr>
        <w:pStyle w:val="TOC4"/>
        <w:tabs>
          <w:tab w:val="right" w:leader="dot" w:pos="9350"/>
        </w:tabs>
        <w:rPr>
          <w:rFonts w:eastAsiaTheme="minorEastAsia"/>
          <w:noProof/>
        </w:rPr>
      </w:pPr>
      <w:hyperlink w:anchor="_Toc1561962" w:history="1">
        <w:r w:rsidR="00D46B4E" w:rsidRPr="00D27DE1">
          <w:rPr>
            <w:rStyle w:val="Hyperlink"/>
            <w:noProof/>
          </w:rPr>
          <w:t>Table 4: IEA WEO gas trade projection (bcm)</w:t>
        </w:r>
        <w:r w:rsidR="00D46B4E">
          <w:rPr>
            <w:noProof/>
            <w:webHidden/>
          </w:rPr>
          <w:tab/>
        </w:r>
        <w:r w:rsidR="00D46B4E">
          <w:rPr>
            <w:noProof/>
            <w:webHidden/>
          </w:rPr>
          <w:fldChar w:fldCharType="begin"/>
        </w:r>
        <w:r w:rsidR="00D46B4E">
          <w:rPr>
            <w:noProof/>
            <w:webHidden/>
          </w:rPr>
          <w:instrText xml:space="preserve"> PAGEREF _Toc1561962 \h </w:instrText>
        </w:r>
        <w:r w:rsidR="00D46B4E">
          <w:rPr>
            <w:noProof/>
            <w:webHidden/>
          </w:rPr>
        </w:r>
        <w:r w:rsidR="00D46B4E">
          <w:rPr>
            <w:noProof/>
            <w:webHidden/>
          </w:rPr>
          <w:fldChar w:fldCharType="separate"/>
        </w:r>
        <w:r w:rsidR="00A20136">
          <w:rPr>
            <w:noProof/>
            <w:webHidden/>
          </w:rPr>
          <w:t>9</w:t>
        </w:r>
        <w:r w:rsidR="00D46B4E">
          <w:rPr>
            <w:noProof/>
            <w:webHidden/>
          </w:rPr>
          <w:fldChar w:fldCharType="end"/>
        </w:r>
      </w:hyperlink>
    </w:p>
    <w:p w14:paraId="2DDD93B8" w14:textId="42B5BE90" w:rsidR="00D46B4E" w:rsidRDefault="00DF17A2">
      <w:pPr>
        <w:pStyle w:val="TOC4"/>
        <w:tabs>
          <w:tab w:val="right" w:leader="dot" w:pos="9350"/>
        </w:tabs>
        <w:rPr>
          <w:rFonts w:eastAsiaTheme="minorEastAsia"/>
          <w:noProof/>
        </w:rPr>
      </w:pPr>
      <w:hyperlink w:anchor="_Toc1561963" w:history="1">
        <w:r w:rsidR="00D46B4E" w:rsidRPr="00D27DE1">
          <w:rPr>
            <w:rStyle w:val="Hyperlink"/>
            <w:noProof/>
          </w:rPr>
          <w:t>Table 6: Wood Mackenzie’s gas trade projection (bcm)</w:t>
        </w:r>
        <w:r w:rsidR="00D46B4E">
          <w:rPr>
            <w:noProof/>
            <w:webHidden/>
          </w:rPr>
          <w:tab/>
        </w:r>
        <w:r w:rsidR="00D46B4E">
          <w:rPr>
            <w:noProof/>
            <w:webHidden/>
          </w:rPr>
          <w:fldChar w:fldCharType="begin"/>
        </w:r>
        <w:r w:rsidR="00D46B4E">
          <w:rPr>
            <w:noProof/>
            <w:webHidden/>
          </w:rPr>
          <w:instrText xml:space="preserve"> PAGEREF _Toc1561963 \h </w:instrText>
        </w:r>
        <w:r w:rsidR="00D46B4E">
          <w:rPr>
            <w:noProof/>
            <w:webHidden/>
          </w:rPr>
        </w:r>
        <w:r w:rsidR="00D46B4E">
          <w:rPr>
            <w:noProof/>
            <w:webHidden/>
          </w:rPr>
          <w:fldChar w:fldCharType="separate"/>
        </w:r>
        <w:r w:rsidR="00A20136">
          <w:rPr>
            <w:noProof/>
            <w:webHidden/>
          </w:rPr>
          <w:t>9</w:t>
        </w:r>
        <w:r w:rsidR="00D46B4E">
          <w:rPr>
            <w:noProof/>
            <w:webHidden/>
          </w:rPr>
          <w:fldChar w:fldCharType="end"/>
        </w:r>
      </w:hyperlink>
    </w:p>
    <w:p w14:paraId="2878BEB4" w14:textId="63D242F9" w:rsidR="00D46B4E" w:rsidRDefault="00DF17A2">
      <w:pPr>
        <w:pStyle w:val="TOC4"/>
        <w:tabs>
          <w:tab w:val="right" w:leader="dot" w:pos="9350"/>
        </w:tabs>
        <w:rPr>
          <w:rFonts w:eastAsiaTheme="minorEastAsia"/>
          <w:noProof/>
        </w:rPr>
      </w:pPr>
      <w:hyperlink w:anchor="_Toc1561964" w:history="1">
        <w:r w:rsidR="00D46B4E" w:rsidRPr="00D27DE1">
          <w:rPr>
            <w:rStyle w:val="Hyperlink"/>
            <w:noProof/>
          </w:rPr>
          <w:t>Table 5: Benchmarking global gas trade projections (bcm)</w:t>
        </w:r>
        <w:r w:rsidR="00D46B4E">
          <w:rPr>
            <w:noProof/>
            <w:webHidden/>
          </w:rPr>
          <w:tab/>
        </w:r>
        <w:r w:rsidR="00D46B4E">
          <w:rPr>
            <w:noProof/>
            <w:webHidden/>
          </w:rPr>
          <w:fldChar w:fldCharType="begin"/>
        </w:r>
        <w:r w:rsidR="00D46B4E">
          <w:rPr>
            <w:noProof/>
            <w:webHidden/>
          </w:rPr>
          <w:instrText xml:space="preserve"> PAGEREF _Toc1561964 \h </w:instrText>
        </w:r>
        <w:r w:rsidR="00D46B4E">
          <w:rPr>
            <w:noProof/>
            <w:webHidden/>
          </w:rPr>
        </w:r>
        <w:r w:rsidR="00D46B4E">
          <w:rPr>
            <w:noProof/>
            <w:webHidden/>
          </w:rPr>
          <w:fldChar w:fldCharType="separate"/>
        </w:r>
        <w:r w:rsidR="00A20136">
          <w:rPr>
            <w:noProof/>
            <w:webHidden/>
          </w:rPr>
          <w:t>10</w:t>
        </w:r>
        <w:r w:rsidR="00D46B4E">
          <w:rPr>
            <w:noProof/>
            <w:webHidden/>
          </w:rPr>
          <w:fldChar w:fldCharType="end"/>
        </w:r>
      </w:hyperlink>
    </w:p>
    <w:p w14:paraId="30C54437" w14:textId="4CE94965" w:rsidR="00D46B4E" w:rsidRDefault="00DF17A2">
      <w:pPr>
        <w:pStyle w:val="TOC4"/>
        <w:tabs>
          <w:tab w:val="right" w:leader="dot" w:pos="9350"/>
        </w:tabs>
        <w:rPr>
          <w:rFonts w:eastAsiaTheme="minorEastAsia"/>
          <w:noProof/>
        </w:rPr>
      </w:pPr>
      <w:hyperlink w:anchor="_Toc1561969" w:history="1">
        <w:r w:rsidR="00D46B4E" w:rsidRPr="00D27DE1">
          <w:rPr>
            <w:rStyle w:val="Hyperlink"/>
            <w:noProof/>
          </w:rPr>
          <w:t>Table 7: Natural gas demand and trade, total and by region, bcm</w:t>
        </w:r>
        <w:r w:rsidR="00D46B4E">
          <w:rPr>
            <w:noProof/>
            <w:webHidden/>
          </w:rPr>
          <w:tab/>
        </w:r>
        <w:r w:rsidR="00D46B4E">
          <w:rPr>
            <w:noProof/>
            <w:webHidden/>
          </w:rPr>
          <w:fldChar w:fldCharType="begin"/>
        </w:r>
        <w:r w:rsidR="00D46B4E">
          <w:rPr>
            <w:noProof/>
            <w:webHidden/>
          </w:rPr>
          <w:instrText xml:space="preserve"> PAGEREF _Toc1561969 \h </w:instrText>
        </w:r>
        <w:r w:rsidR="00D46B4E">
          <w:rPr>
            <w:noProof/>
            <w:webHidden/>
          </w:rPr>
        </w:r>
        <w:r w:rsidR="00D46B4E">
          <w:rPr>
            <w:noProof/>
            <w:webHidden/>
          </w:rPr>
          <w:fldChar w:fldCharType="separate"/>
        </w:r>
        <w:r w:rsidR="00A20136">
          <w:rPr>
            <w:noProof/>
            <w:webHidden/>
          </w:rPr>
          <w:t>12</w:t>
        </w:r>
        <w:r w:rsidR="00D46B4E">
          <w:rPr>
            <w:noProof/>
            <w:webHidden/>
          </w:rPr>
          <w:fldChar w:fldCharType="end"/>
        </w:r>
      </w:hyperlink>
    </w:p>
    <w:p w14:paraId="7AF30494" w14:textId="60001314" w:rsidR="00E86BEA" w:rsidRDefault="00E86BEA" w:rsidP="00953AE2">
      <w:pPr>
        <w:pStyle w:val="TableofFigures"/>
        <w:tabs>
          <w:tab w:val="right" w:leader="dot" w:pos="9016"/>
        </w:tabs>
        <w:spacing w:after="240"/>
        <w:rPr>
          <w:rStyle w:val="Hyperlink"/>
          <w:noProof/>
        </w:rPr>
      </w:pPr>
      <w:r>
        <w:rPr>
          <w:rStyle w:val="Hyperlink"/>
          <w:noProof/>
        </w:rPr>
        <w:fldChar w:fldCharType="end"/>
      </w:r>
    </w:p>
    <w:p w14:paraId="3EB35392" w14:textId="4723DEBF" w:rsidR="00953AE2" w:rsidRDefault="00953AE2" w:rsidP="00953AE2">
      <w:pPr>
        <w:pStyle w:val="Title3"/>
        <w:rPr>
          <w:rFonts w:asciiTheme="majorHAnsi" w:hAnsiTheme="majorHAnsi" w:cstheme="majorHAnsi"/>
          <w:szCs w:val="24"/>
        </w:rPr>
        <w:sectPr w:rsidR="00953AE2">
          <w:pgSz w:w="12240" w:h="15840"/>
          <w:pgMar w:top="1440" w:right="1440" w:bottom="1440" w:left="1440" w:header="720" w:footer="720" w:gutter="0"/>
          <w:cols w:space="720"/>
          <w:docGrid w:linePitch="360"/>
        </w:sectPr>
      </w:pPr>
    </w:p>
    <w:p w14:paraId="5A2F931B" w14:textId="79612765" w:rsidR="0044546E" w:rsidRPr="00384791" w:rsidRDefault="00BB7BC2" w:rsidP="00384791">
      <w:pPr>
        <w:pStyle w:val="Heading1"/>
        <w:spacing w:after="240"/>
        <w:jc w:val="lowKashida"/>
        <w:rPr>
          <w:rFonts w:cs="Helvetica"/>
        </w:rPr>
      </w:pPr>
      <w:bookmarkStart w:id="25" w:name="_Toc1561771"/>
      <w:bookmarkStart w:id="26" w:name="_Toc1561833"/>
      <w:bookmarkStart w:id="27" w:name="_Toc1561874"/>
      <w:bookmarkStart w:id="28" w:name="_Toc1561954"/>
      <w:bookmarkStart w:id="29" w:name="_Toc1661444"/>
      <w:r w:rsidRPr="00384791">
        <w:rPr>
          <w:rFonts w:cs="Helvetica"/>
        </w:rPr>
        <w:lastRenderedPageBreak/>
        <w:t>Executive summary</w:t>
      </w:r>
      <w:bookmarkEnd w:id="25"/>
      <w:bookmarkEnd w:id="26"/>
      <w:bookmarkEnd w:id="27"/>
      <w:bookmarkEnd w:id="28"/>
      <w:bookmarkEnd w:id="29"/>
    </w:p>
    <w:p w14:paraId="7AE9CDA4" w14:textId="23075D7E" w:rsidR="00545A82" w:rsidRDefault="001253B7" w:rsidP="00BB7BC2">
      <w:pPr>
        <w:jc w:val="lowKashida"/>
      </w:pPr>
      <w:r w:rsidRPr="00BB7BC2">
        <w:t xml:space="preserve">This </w:t>
      </w:r>
      <w:r w:rsidR="00545A82">
        <w:t>report</w:t>
      </w:r>
      <w:r w:rsidRPr="00BB7BC2">
        <w:t xml:space="preserve"> reviews “LNG glut” scenario to estimate the impact of new liquefaction capacity coming to the LNG market up to 2025. Between 2012 and 2017, over 2</w:t>
      </w:r>
      <w:r w:rsidR="00545A82">
        <w:t>5</w:t>
      </w:r>
      <w:r w:rsidRPr="00BB7BC2">
        <w:t xml:space="preserve">0 </w:t>
      </w:r>
      <w:proofErr w:type="spellStart"/>
      <w:r w:rsidRPr="00BB7BC2">
        <w:t>mtpa</w:t>
      </w:r>
      <w:proofErr w:type="spellEnd"/>
      <w:r w:rsidRPr="00BB7BC2">
        <w:t xml:space="preserve"> of gas liquefaction projects </w:t>
      </w:r>
      <w:proofErr w:type="gramStart"/>
      <w:r w:rsidRPr="00BB7BC2">
        <w:t>have been announced</w:t>
      </w:r>
      <w:proofErr w:type="gramEnd"/>
      <w:r w:rsidRPr="00BB7BC2">
        <w:t xml:space="preserve"> and most of those are still not shelved and have completion dates before 2025. With latest IEA WEO (IEA, 2018) seeing over 500 </w:t>
      </w:r>
      <w:proofErr w:type="spellStart"/>
      <w:r w:rsidRPr="00BB7BC2">
        <w:t>mt</w:t>
      </w:r>
      <w:proofErr w:type="spellEnd"/>
      <w:r w:rsidRPr="00BB7BC2">
        <w:t xml:space="preserve"> LNG trade by 2025 compared to 300 </w:t>
      </w:r>
      <w:proofErr w:type="spellStart"/>
      <w:r w:rsidRPr="00BB7BC2">
        <w:t>mt</w:t>
      </w:r>
      <w:proofErr w:type="spellEnd"/>
      <w:r w:rsidRPr="00BB7BC2">
        <w:t xml:space="preserve"> in 2017, it is plausible to doubt if there </w:t>
      </w:r>
      <w:r w:rsidR="00545A82">
        <w:t>would be</w:t>
      </w:r>
      <w:r w:rsidRPr="00BB7BC2">
        <w:t xml:space="preserve"> a demand </w:t>
      </w:r>
      <w:r w:rsidR="00545A82">
        <w:t xml:space="preserve">in place </w:t>
      </w:r>
      <w:r w:rsidRPr="00BB7BC2">
        <w:t xml:space="preserve">for such a rapid market growth. </w:t>
      </w:r>
    </w:p>
    <w:p w14:paraId="50EDBF2C" w14:textId="5E920CB1" w:rsidR="001253B7" w:rsidRPr="00BB7BC2" w:rsidRDefault="001253B7" w:rsidP="00BB7BC2">
      <w:pPr>
        <w:jc w:val="lowKashida"/>
      </w:pPr>
      <w:r w:rsidRPr="00BB7BC2">
        <w:t>As the new wave of LNG projects started entering the market from 2016, there has been a long-standing anticipation of the “LNG glut” – oversupply of LNG that would induce the “great reconfiguration” of global LNG trade (</w:t>
      </w:r>
      <w:proofErr w:type="spellStart"/>
      <w:r w:rsidRPr="00BB7BC2">
        <w:t>Corbeau</w:t>
      </w:r>
      <w:proofErr w:type="spellEnd"/>
      <w:r w:rsidRPr="00BB7BC2">
        <w:t xml:space="preserve"> et al, 2016). So far, 1</w:t>
      </w:r>
      <w:r w:rsidR="00545A82">
        <w:t>5</w:t>
      </w:r>
      <w:r w:rsidRPr="00BB7BC2">
        <w:t xml:space="preserve">0 extra </w:t>
      </w:r>
      <w:proofErr w:type="spellStart"/>
      <w:r w:rsidR="00545A82">
        <w:t>mtpa</w:t>
      </w:r>
      <w:proofErr w:type="spellEnd"/>
      <w:r w:rsidRPr="00BB7BC2">
        <w:t xml:space="preserve"> of LNG capacity from Qatar, the US, Australia and Russia are widely expected before 2025, and it is unclear how the market will react. Gas consumers in </w:t>
      </w:r>
      <w:r w:rsidR="00545A82">
        <w:t xml:space="preserve">the </w:t>
      </w:r>
      <w:r w:rsidRPr="00BB7BC2">
        <w:t>EU and Japan also prepare for the “LNG revolution” (</w:t>
      </w:r>
      <w:proofErr w:type="spellStart"/>
      <w:r w:rsidRPr="00BB7BC2">
        <w:t>Seko</w:t>
      </w:r>
      <w:proofErr w:type="spellEnd"/>
      <w:r w:rsidRPr="00BB7BC2">
        <w:t xml:space="preserve">, 2017), a term similar to “shale revolution” of 2009-2011, changing market design, regulation and adding infrastructure. </w:t>
      </w:r>
    </w:p>
    <w:p w14:paraId="4BCBCE01" w14:textId="77777777" w:rsidR="001253B7" w:rsidRPr="00BB7BC2" w:rsidRDefault="001253B7" w:rsidP="00BB7BC2">
      <w:pPr>
        <w:jc w:val="lowKashida"/>
      </w:pPr>
      <w:proofErr w:type="gramStart"/>
      <w:r w:rsidRPr="00BB7BC2">
        <w:t>The effect of this “LNG glut” and corresponding market transformation has long been a focus of market analysts, but did not get enough attention as a research topic in the energy economics.</w:t>
      </w:r>
      <w:proofErr w:type="gramEnd"/>
      <w:r w:rsidRPr="00BB7BC2">
        <w:t xml:space="preserve"> </w:t>
      </w:r>
      <w:proofErr w:type="gramStart"/>
      <w:r w:rsidRPr="00BB7BC2">
        <w:t>Also</w:t>
      </w:r>
      <w:proofErr w:type="gramEnd"/>
      <w:r w:rsidRPr="00BB7BC2">
        <w:t xml:space="preserve">, effects of the new market design and trade flow reconfiguration in Asia were reviewed before (Aguilera et al., 2014; Shi et al 2016; </w:t>
      </w:r>
      <w:proofErr w:type="spellStart"/>
      <w:r w:rsidRPr="00BB7BC2">
        <w:t>Corbeau</w:t>
      </w:r>
      <w:proofErr w:type="spellEnd"/>
      <w:r w:rsidRPr="00BB7BC2">
        <w:t xml:space="preserve"> et al, 2016) but existing studies did not model the LNG capacity oversupply, only the market structure changes. </w:t>
      </w:r>
    </w:p>
    <w:p w14:paraId="180F13C6" w14:textId="77777777" w:rsidR="001253B7" w:rsidRPr="00BB7BC2" w:rsidRDefault="001253B7" w:rsidP="00BB7BC2">
      <w:pPr>
        <w:jc w:val="lowKashida"/>
      </w:pPr>
      <w:r w:rsidRPr="00BB7BC2">
        <w:t xml:space="preserve">We build on a vast literature on energy modelling and forecasting, as well as on the body of LNG market research, to run the model with LNG capacities coming on schedule. The main modelling tool is the in-house model of the GECF Secretariat, Global Gas Model, based on the database on network of liquefaction, </w:t>
      </w:r>
      <w:proofErr w:type="spellStart"/>
      <w:r w:rsidRPr="00BB7BC2">
        <w:t>regas</w:t>
      </w:r>
      <w:proofErr w:type="spellEnd"/>
      <w:r w:rsidRPr="00BB7BC2">
        <w:t>, LNG routes, pipelines and LNG carrier fleets. The infrastructure database of the GGM that is used for the modelling exercise  contains: 240 liquefaction plants, 400 regasification plants, more than 5000 gas pipeline and shipping routes, and the trade gas contracts database contains annual contracted and delivered volumes, including 600 contracts (country-to-country and non-dedicated), based on more than 1000 company-to-company contracts.</w:t>
      </w:r>
    </w:p>
    <w:p w14:paraId="1576631B" w14:textId="77777777" w:rsidR="001253B7" w:rsidRPr="00BB7BC2" w:rsidRDefault="001253B7" w:rsidP="00BB7BC2">
      <w:pPr>
        <w:jc w:val="lowKashida"/>
      </w:pPr>
      <w:r w:rsidRPr="00BB7BC2">
        <w:t xml:space="preserve">We use a global modelling tool GGM to see how the LNG trade flows change based on the timing of the project schedules and capacity going as planned. We implement the project schedules announced, assume no bottlenecks in </w:t>
      </w:r>
      <w:proofErr w:type="spellStart"/>
      <w:r w:rsidRPr="00BB7BC2">
        <w:t>feedgas</w:t>
      </w:r>
      <w:proofErr w:type="spellEnd"/>
      <w:r w:rsidRPr="00BB7BC2">
        <w:t xml:space="preserve"> or upstream production and natural gas transportation, and solve the trade flows model to get the market distribution of flows and the market-specific LNG prices for Asian, European, and Latin American markets. We benchmark the results to the Reference case of 2018 edition of GECF Global Gas Outlook 2040. </w:t>
      </w:r>
    </w:p>
    <w:p w14:paraId="0B39B9E4" w14:textId="65E5B884" w:rsidR="00545A82" w:rsidRPr="00545A82" w:rsidRDefault="00545A82" w:rsidP="00545A82">
      <w:pPr>
        <w:jc w:val="lowKashida"/>
      </w:pPr>
      <w:r w:rsidRPr="00545A82">
        <w:t xml:space="preserve">There are three main outtakes from the modelling. First, gas market design and pricing mechanisms matter, especially in how the Asian customers behave. By 2025, some of them will have access to the piped gas from Russia, as well as to an increasing indigenous production of natural gas. Secondly, the impact of “LNG glut” for Latin American and European markets </w:t>
      </w:r>
      <w:proofErr w:type="gramStart"/>
      <w:r w:rsidRPr="00545A82">
        <w:t>is often overlooked</w:t>
      </w:r>
      <w:proofErr w:type="gramEnd"/>
      <w:r w:rsidRPr="00545A82">
        <w:t xml:space="preserve">, as those markets are price-sensitive and could absorb up to extra 40 </w:t>
      </w:r>
      <w:proofErr w:type="spellStart"/>
      <w:r w:rsidR="00354E97">
        <w:t>mtpa</w:t>
      </w:r>
      <w:proofErr w:type="spellEnd"/>
      <w:r w:rsidRPr="00545A82">
        <w:t xml:space="preserve"> annually, even as the pipeline gas consumption is flat or growing. Thirdly, the policy drivers of natural gas demand </w:t>
      </w:r>
      <w:proofErr w:type="gramStart"/>
      <w:r w:rsidRPr="00545A82">
        <w:t>should not be overlooked</w:t>
      </w:r>
      <w:proofErr w:type="gramEnd"/>
      <w:r w:rsidRPr="00545A82">
        <w:t>. The gas use in China as per Chinese 13th Five-year plan was undercut in 2017-2018 by the lack of infrastructure and affordability challenges vis-à-vis coal, but the demand is also price-elastic and might ramp up quickly (</w:t>
      </w:r>
      <w:proofErr w:type="spellStart"/>
      <w:r w:rsidRPr="00545A82">
        <w:t>Wanga</w:t>
      </w:r>
      <w:proofErr w:type="spellEnd"/>
      <w:r w:rsidRPr="00545A82">
        <w:t xml:space="preserve"> and </w:t>
      </w:r>
      <w:proofErr w:type="spellStart"/>
      <w:r w:rsidRPr="00545A82">
        <w:t>Xue</w:t>
      </w:r>
      <w:proofErr w:type="spellEnd"/>
      <w:r w:rsidRPr="00545A82">
        <w:t xml:space="preserve">, 2017). </w:t>
      </w:r>
    </w:p>
    <w:p w14:paraId="3EBB7CBB" w14:textId="77777777" w:rsidR="00545A82" w:rsidRDefault="00545A82" w:rsidP="001257BE">
      <w:pPr>
        <w:jc w:val="lowKashida"/>
        <w:sectPr w:rsidR="00545A82">
          <w:pgSz w:w="12240" w:h="15840"/>
          <w:pgMar w:top="1440" w:right="1440" w:bottom="1440" w:left="1440" w:header="720" w:footer="720" w:gutter="0"/>
          <w:cols w:space="720"/>
          <w:docGrid w:linePitch="360"/>
        </w:sectPr>
      </w:pPr>
    </w:p>
    <w:p w14:paraId="6E2B5A48" w14:textId="1B23E197" w:rsidR="0044546E" w:rsidRPr="00384791" w:rsidRDefault="008D6488" w:rsidP="00384791">
      <w:pPr>
        <w:pStyle w:val="Heading1"/>
        <w:spacing w:after="240"/>
        <w:jc w:val="lowKashida"/>
        <w:rPr>
          <w:rFonts w:cs="Helvetica"/>
        </w:rPr>
      </w:pPr>
      <w:bookmarkStart w:id="30" w:name="_Toc1561772"/>
      <w:bookmarkStart w:id="31" w:name="_Toc1561834"/>
      <w:bookmarkStart w:id="32" w:name="_Toc1561875"/>
      <w:bookmarkStart w:id="33" w:name="_Toc1561955"/>
      <w:bookmarkStart w:id="34" w:name="_Toc1661445"/>
      <w:r w:rsidRPr="00384791">
        <w:rPr>
          <w:rFonts w:cs="Helvetica"/>
        </w:rPr>
        <w:lastRenderedPageBreak/>
        <w:t>Background for developing LNG oversupply scenario: m</w:t>
      </w:r>
      <w:r w:rsidR="00DB3A59" w:rsidRPr="00384791">
        <w:rPr>
          <w:rFonts w:cs="Helvetica"/>
        </w:rPr>
        <w:t>arket overview 2016-2018</w:t>
      </w:r>
      <w:bookmarkEnd w:id="30"/>
      <w:bookmarkEnd w:id="31"/>
      <w:bookmarkEnd w:id="32"/>
      <w:bookmarkEnd w:id="33"/>
      <w:bookmarkEnd w:id="34"/>
    </w:p>
    <w:p w14:paraId="0023575C" w14:textId="030AE158" w:rsidR="006420F3" w:rsidRDefault="00005274" w:rsidP="00005274">
      <w:pPr>
        <w:jc w:val="lowKashida"/>
      </w:pPr>
      <w:r w:rsidRPr="00765F0E">
        <w:t xml:space="preserve">The </w:t>
      </w:r>
      <w:r w:rsidR="00053ADB">
        <w:t>notions</w:t>
      </w:r>
      <w:r>
        <w:t xml:space="preserve"> </w:t>
      </w:r>
      <w:r w:rsidR="00053ADB">
        <w:t>of looming</w:t>
      </w:r>
      <w:r>
        <w:t xml:space="preserve"> LNG oversupply </w:t>
      </w:r>
      <w:r w:rsidR="001253B7">
        <w:t xml:space="preserve">(“LNG glut”) </w:t>
      </w:r>
      <w:r>
        <w:t xml:space="preserve">have been in place since 2014, when the oil market collapse met a mountain of </w:t>
      </w:r>
      <w:proofErr w:type="spellStart"/>
      <w:r>
        <w:t>megatrain</w:t>
      </w:r>
      <w:proofErr w:type="spellEnd"/>
      <w:r>
        <w:t xml:space="preserve"> facility FIDs and announcements, including then Sabine Pass, Gorgon, Yamal, Prelude, Cove Point, and several others. From </w:t>
      </w:r>
      <w:r w:rsidRPr="00005274">
        <w:t>2015</w:t>
      </w:r>
      <w:r>
        <w:t xml:space="preserve"> to H2 2018</w:t>
      </w:r>
      <w:r w:rsidRPr="00005274">
        <w:t xml:space="preserve">, </w:t>
      </w:r>
      <w:r>
        <w:t xml:space="preserve">no major project took FID, although there have been several major non-binding announcements (such as Qatari </w:t>
      </w:r>
      <w:proofErr w:type="spellStart"/>
      <w:r>
        <w:t>announcemnent</w:t>
      </w:r>
      <w:proofErr w:type="spellEnd"/>
      <w:r>
        <w:t xml:space="preserve"> for the LNG capacity export growth from the North Field)</w:t>
      </w:r>
      <w:r w:rsidR="00ED35D1">
        <w:t xml:space="preserve">. </w:t>
      </w:r>
      <w:r w:rsidR="00224566">
        <w:t xml:space="preserve">The long-term price decline that originated only on American market in 2010 </w:t>
      </w:r>
      <w:proofErr w:type="gramStart"/>
      <w:r w:rsidR="00224566">
        <w:t>was followed</w:t>
      </w:r>
      <w:proofErr w:type="gramEnd"/>
      <w:r w:rsidR="00224566">
        <w:t xml:space="preserve"> by a slump in global prices that lasted 2013 to 2016. </w:t>
      </w:r>
    </w:p>
    <w:p w14:paraId="1674AC43" w14:textId="59D09254" w:rsidR="00765F0E" w:rsidRPr="00186ABE" w:rsidRDefault="00765F0E" w:rsidP="005730C7">
      <w:pPr>
        <w:pStyle w:val="Heading4"/>
      </w:pPr>
      <w:bookmarkStart w:id="35" w:name="_Toc1561876"/>
      <w:bookmarkStart w:id="36" w:name="_Toc1561956"/>
      <w:bookmarkStart w:id="37" w:name="_Toc1661446"/>
      <w:r w:rsidRPr="00186ABE">
        <w:t>Figure</w:t>
      </w:r>
      <w:r w:rsidR="00186ABE">
        <w:t xml:space="preserve"> 1</w:t>
      </w:r>
      <w:r w:rsidRPr="00186ABE">
        <w:t xml:space="preserve">. LNG </w:t>
      </w:r>
      <w:r w:rsidR="005730C7">
        <w:t>historical</w:t>
      </w:r>
      <w:r w:rsidRPr="00186ABE">
        <w:t xml:space="preserve"> prices, $/</w:t>
      </w:r>
      <w:proofErr w:type="spellStart"/>
      <w:r w:rsidRPr="00186ABE">
        <w:t>mmbtu</w:t>
      </w:r>
      <w:bookmarkEnd w:id="35"/>
      <w:bookmarkEnd w:id="36"/>
      <w:bookmarkEnd w:id="37"/>
      <w:proofErr w:type="spellEnd"/>
    </w:p>
    <w:p w14:paraId="252B7A15" w14:textId="77777777" w:rsidR="00172B61" w:rsidRDefault="009709C5" w:rsidP="009709C5">
      <w:pPr>
        <w:pStyle w:val="Caption"/>
        <w:spacing w:after="160"/>
        <w:ind w:left="990"/>
        <w:contextualSpacing/>
        <w:jc w:val="center"/>
        <w:rPr>
          <w:rFonts w:ascii="Calibri Light" w:eastAsia="Calibri" w:hAnsi="Calibri Light" w:cs="Arial"/>
          <w:sz w:val="16"/>
          <w:szCs w:val="16"/>
          <w:lang w:val="en-AU" w:eastAsia="ja-JP"/>
        </w:rPr>
      </w:pPr>
      <w:r>
        <w:rPr>
          <w:noProof/>
          <w:lang w:eastAsia="en-US"/>
        </w:rPr>
        <w:drawing>
          <wp:inline distT="0" distB="0" distL="0" distR="0" wp14:anchorId="6B430A7C" wp14:editId="278F35B8">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EB3CF1" w14:textId="7F52C3B9" w:rsidR="00186ABE" w:rsidRPr="00B64B0A" w:rsidRDefault="00186ABE" w:rsidP="00172B61">
      <w:pPr>
        <w:pStyle w:val="Caption"/>
        <w:spacing w:after="160"/>
        <w:ind w:left="990"/>
        <w:contextualSpacing/>
        <w:rPr>
          <w:rFonts w:ascii="Calibri Light" w:eastAsia="Calibri" w:hAnsi="Calibri Light" w:cs="Arial"/>
          <w:b/>
          <w:bCs/>
          <w:i w:val="0"/>
          <w:iCs w:val="0"/>
          <w:sz w:val="16"/>
          <w:szCs w:val="16"/>
          <w:lang w:val="en-AU" w:eastAsia="ja-JP"/>
        </w:rPr>
      </w:pPr>
      <w:r w:rsidRPr="005D128B">
        <w:rPr>
          <w:rFonts w:ascii="Calibri Light" w:eastAsia="Calibri" w:hAnsi="Calibri Light" w:cs="Arial"/>
          <w:sz w:val="16"/>
          <w:szCs w:val="16"/>
          <w:lang w:val="en-AU" w:eastAsia="ja-JP"/>
        </w:rPr>
        <w:t>Source: GECF Secretar</w:t>
      </w:r>
      <w:r>
        <w:rPr>
          <w:rFonts w:ascii="Calibri Light" w:eastAsia="Calibri" w:hAnsi="Calibri Light" w:cs="Arial"/>
          <w:sz w:val="16"/>
          <w:szCs w:val="16"/>
          <w:lang w:val="en-AU" w:eastAsia="ja-JP"/>
        </w:rPr>
        <w:t>iat based on data from GECF GGM</w:t>
      </w:r>
    </w:p>
    <w:p w14:paraId="11EB0A33" w14:textId="69BAA881" w:rsidR="00307BD5" w:rsidRPr="006420F3" w:rsidRDefault="00307BD5" w:rsidP="00307BD5">
      <w:pPr>
        <w:jc w:val="lowKashida"/>
      </w:pPr>
      <w:r>
        <w:t xml:space="preserve">During 2016-2018, over 20 gas production and LNG projects </w:t>
      </w:r>
      <w:proofErr w:type="gramStart"/>
      <w:r>
        <w:t>were shelved</w:t>
      </w:r>
      <w:proofErr w:type="gramEnd"/>
      <w:r>
        <w:t xml:space="preserve">, while others rescheduled due to adverse market conditions. </w:t>
      </w:r>
      <w:r w:rsidR="00CC5557">
        <w:t xml:space="preserve">The projects that took FID </w:t>
      </w:r>
      <w:r w:rsidR="00BE33FD">
        <w:t xml:space="preserve">earlier focused on capital and operating cost minimization, and many projects arrived on the market 1 or 2 years later than originally planned. </w:t>
      </w:r>
      <w:r w:rsidRPr="006420F3">
        <w:t xml:space="preserve">After </w:t>
      </w:r>
      <w:r>
        <w:t xml:space="preserve">natural gas prices recovered in H2 2017, and peaked in 2018 due to Chinese emergence as a dominant LNG importer, the shelved project pipeline </w:t>
      </w:r>
      <w:proofErr w:type="gramStart"/>
      <w:r>
        <w:t>was refreshed</w:t>
      </w:r>
      <w:proofErr w:type="gramEnd"/>
      <w:r>
        <w:t xml:space="preserve">. While LNG Canada in October 2018 was the first major FID since 2015, the financing and offtake arrangements for this project were unlikely to </w:t>
      </w:r>
      <w:proofErr w:type="gramStart"/>
      <w:r>
        <w:t>be replicated</w:t>
      </w:r>
      <w:proofErr w:type="gramEnd"/>
      <w:r>
        <w:t xml:space="preserve"> by other market players. However, according to a consultant Wood Mackenzie, 2019 will see FIDs for least five major LNG projects. Together with both LNG and pipeline projects coming online in the next years, and </w:t>
      </w:r>
      <w:r w:rsidR="00F3394D">
        <w:t>some “guaranteed”</w:t>
      </w:r>
      <w:r w:rsidR="00F3394D" w:rsidRPr="00F3394D">
        <w:t xml:space="preserve"> </w:t>
      </w:r>
      <w:r>
        <w:t>FIDs pending after announcements, this wave of LNG projects could create oversupply in the markets after 2020.</w:t>
      </w:r>
    </w:p>
    <w:p w14:paraId="34BE5257" w14:textId="57AE5FA8" w:rsidR="00357AB2" w:rsidRPr="00B02E4F" w:rsidRDefault="00357AB2" w:rsidP="005730C7">
      <w:pPr>
        <w:pStyle w:val="Heading4"/>
        <w:jc w:val="center"/>
      </w:pPr>
      <w:bookmarkStart w:id="38" w:name="_Toc1561774"/>
      <w:bookmarkStart w:id="39" w:name="_Toc1561957"/>
      <w:bookmarkStart w:id="40" w:name="_Toc1661447"/>
      <w:r w:rsidRPr="00B02E4F">
        <w:t>Table</w:t>
      </w:r>
      <w:r w:rsidR="00B02E4F">
        <w:t xml:space="preserve"> </w:t>
      </w:r>
      <w:r w:rsidR="00E86BEA">
        <w:t>1</w:t>
      </w:r>
      <w:r w:rsidR="009074EC" w:rsidRPr="00B02E4F">
        <w:t>:</w:t>
      </w:r>
      <w:r w:rsidRPr="00B02E4F">
        <w:t xml:space="preserve"> Announced and upcoming LNG projects</w:t>
      </w:r>
      <w:bookmarkEnd w:id="38"/>
      <w:bookmarkEnd w:id="39"/>
      <w:bookmarkEnd w:id="40"/>
    </w:p>
    <w:tbl>
      <w:tblPr>
        <w:tblStyle w:val="TableGrid"/>
        <w:tblW w:w="0" w:type="auto"/>
        <w:jc w:val="center"/>
        <w:tblLook w:val="04A0" w:firstRow="1" w:lastRow="0" w:firstColumn="1" w:lastColumn="0" w:noHBand="0" w:noVBand="1"/>
      </w:tblPr>
      <w:tblGrid>
        <w:gridCol w:w="2564"/>
        <w:gridCol w:w="2381"/>
        <w:gridCol w:w="1928"/>
        <w:gridCol w:w="2477"/>
      </w:tblGrid>
      <w:tr w:rsidR="0031172A" w:rsidRPr="004E247F" w14:paraId="36B50799" w14:textId="51DF11E3" w:rsidTr="00DA2B95">
        <w:trPr>
          <w:jc w:val="center"/>
        </w:trPr>
        <w:tc>
          <w:tcPr>
            <w:tcW w:w="2564" w:type="dxa"/>
          </w:tcPr>
          <w:p w14:paraId="10F392A8" w14:textId="4103B4EA" w:rsidR="0031172A" w:rsidRPr="004E247F" w:rsidRDefault="0031172A" w:rsidP="00DA2B95">
            <w:pPr>
              <w:jc w:val="center"/>
              <w:rPr>
                <w:b/>
              </w:rPr>
            </w:pPr>
            <w:r w:rsidRPr="004E247F">
              <w:rPr>
                <w:b/>
              </w:rPr>
              <w:t>Name</w:t>
            </w:r>
          </w:p>
        </w:tc>
        <w:tc>
          <w:tcPr>
            <w:tcW w:w="2381" w:type="dxa"/>
          </w:tcPr>
          <w:p w14:paraId="6B4DEB7B" w14:textId="038D4D77" w:rsidR="0031172A" w:rsidRPr="004E247F" w:rsidRDefault="0031172A" w:rsidP="00DA2B95">
            <w:pPr>
              <w:jc w:val="center"/>
              <w:rPr>
                <w:b/>
              </w:rPr>
            </w:pPr>
            <w:r w:rsidRPr="004E247F">
              <w:rPr>
                <w:b/>
              </w:rPr>
              <w:t>Country</w:t>
            </w:r>
          </w:p>
        </w:tc>
        <w:tc>
          <w:tcPr>
            <w:tcW w:w="1928" w:type="dxa"/>
          </w:tcPr>
          <w:p w14:paraId="274FAD38" w14:textId="55E1A776" w:rsidR="0031172A" w:rsidRPr="004E247F" w:rsidRDefault="00C54112" w:rsidP="00DA2B95">
            <w:pPr>
              <w:jc w:val="center"/>
              <w:rPr>
                <w:b/>
              </w:rPr>
            </w:pPr>
            <w:r>
              <w:rPr>
                <w:b/>
              </w:rPr>
              <w:t>C</w:t>
            </w:r>
            <w:r w:rsidR="0031172A" w:rsidRPr="004E247F">
              <w:rPr>
                <w:b/>
              </w:rPr>
              <w:t>apacity</w:t>
            </w:r>
            <w:r>
              <w:rPr>
                <w:b/>
              </w:rPr>
              <w:t xml:space="preserve"> (</w:t>
            </w:r>
            <w:proofErr w:type="spellStart"/>
            <w:r>
              <w:rPr>
                <w:b/>
              </w:rPr>
              <w:t>mtpa</w:t>
            </w:r>
            <w:proofErr w:type="spellEnd"/>
            <w:r>
              <w:rPr>
                <w:b/>
              </w:rPr>
              <w:t>)</w:t>
            </w:r>
          </w:p>
        </w:tc>
        <w:tc>
          <w:tcPr>
            <w:tcW w:w="2477" w:type="dxa"/>
          </w:tcPr>
          <w:p w14:paraId="75BE029C" w14:textId="23A9B8E3" w:rsidR="0031172A" w:rsidRPr="004E247F" w:rsidRDefault="0031172A" w:rsidP="00DA2B95">
            <w:pPr>
              <w:jc w:val="center"/>
              <w:rPr>
                <w:b/>
              </w:rPr>
            </w:pPr>
            <w:r w:rsidRPr="004E247F">
              <w:rPr>
                <w:b/>
              </w:rPr>
              <w:t>Status</w:t>
            </w:r>
          </w:p>
        </w:tc>
      </w:tr>
      <w:tr w:rsidR="0010314D" w:rsidRPr="00ED5619" w14:paraId="665FA3AC" w14:textId="77777777" w:rsidTr="00DA2B95">
        <w:trPr>
          <w:jc w:val="center"/>
        </w:trPr>
        <w:tc>
          <w:tcPr>
            <w:tcW w:w="9350" w:type="dxa"/>
            <w:gridSpan w:val="4"/>
          </w:tcPr>
          <w:p w14:paraId="4A597EBB" w14:textId="2CE57BDA" w:rsidR="0010314D" w:rsidRPr="00ED5619" w:rsidRDefault="0010314D" w:rsidP="00DA2B95">
            <w:pPr>
              <w:jc w:val="center"/>
              <w:rPr>
                <w:i/>
              </w:rPr>
            </w:pPr>
            <w:r w:rsidRPr="00ED5619">
              <w:rPr>
                <w:i/>
              </w:rPr>
              <w:t>Under construction (post-FID)</w:t>
            </w:r>
            <w:r w:rsidR="00D22166" w:rsidRPr="00ED5619">
              <w:rPr>
                <w:i/>
              </w:rPr>
              <w:t>, “First wave” assumed to be online before 2021</w:t>
            </w:r>
          </w:p>
        </w:tc>
      </w:tr>
      <w:tr w:rsidR="00B02E4F" w14:paraId="5750EDD2" w14:textId="77777777" w:rsidTr="00DA2B95">
        <w:trPr>
          <w:jc w:val="center"/>
        </w:trPr>
        <w:tc>
          <w:tcPr>
            <w:tcW w:w="2564" w:type="dxa"/>
          </w:tcPr>
          <w:p w14:paraId="7E16F238" w14:textId="413BE414" w:rsidR="00B02E4F" w:rsidRDefault="00B02E4F" w:rsidP="00DA2B95">
            <w:pPr>
              <w:jc w:val="center"/>
            </w:pPr>
            <w:r>
              <w:t>Prelude FLNG</w:t>
            </w:r>
          </w:p>
        </w:tc>
        <w:tc>
          <w:tcPr>
            <w:tcW w:w="2381" w:type="dxa"/>
          </w:tcPr>
          <w:p w14:paraId="51574E65" w14:textId="0F8374EC" w:rsidR="00B02E4F" w:rsidRDefault="00B02E4F" w:rsidP="00DA2B95">
            <w:pPr>
              <w:jc w:val="center"/>
            </w:pPr>
            <w:r>
              <w:t>Australia</w:t>
            </w:r>
          </w:p>
        </w:tc>
        <w:tc>
          <w:tcPr>
            <w:tcW w:w="1928" w:type="dxa"/>
          </w:tcPr>
          <w:p w14:paraId="1D6762DE" w14:textId="2800F99A" w:rsidR="00B02E4F" w:rsidRDefault="00B02E4F" w:rsidP="00DA2B95">
            <w:pPr>
              <w:jc w:val="center"/>
            </w:pPr>
            <w:r>
              <w:t>3.6</w:t>
            </w:r>
          </w:p>
        </w:tc>
        <w:tc>
          <w:tcPr>
            <w:tcW w:w="2477" w:type="dxa"/>
          </w:tcPr>
          <w:p w14:paraId="2248A0E3" w14:textId="2796C289" w:rsidR="00B02E4F" w:rsidRDefault="00B02E4F" w:rsidP="00DA2B95">
            <w:pPr>
              <w:jc w:val="center"/>
            </w:pPr>
            <w:r w:rsidRPr="004C0EBE">
              <w:t>Under construction</w:t>
            </w:r>
          </w:p>
        </w:tc>
      </w:tr>
      <w:tr w:rsidR="00B02E4F" w14:paraId="29312852" w14:textId="15771003" w:rsidTr="00DA2B95">
        <w:trPr>
          <w:jc w:val="center"/>
        </w:trPr>
        <w:tc>
          <w:tcPr>
            <w:tcW w:w="2564" w:type="dxa"/>
          </w:tcPr>
          <w:p w14:paraId="59F152A5" w14:textId="6BA6E3AB" w:rsidR="00B02E4F" w:rsidRDefault="00B02E4F" w:rsidP="00DA2B95">
            <w:pPr>
              <w:jc w:val="center"/>
            </w:pPr>
            <w:r>
              <w:t>Darwin LNG Train 2</w:t>
            </w:r>
          </w:p>
        </w:tc>
        <w:tc>
          <w:tcPr>
            <w:tcW w:w="2381" w:type="dxa"/>
          </w:tcPr>
          <w:p w14:paraId="19FC6A85" w14:textId="476A31A1" w:rsidR="00B02E4F" w:rsidRDefault="00B02E4F" w:rsidP="00DA2B95">
            <w:pPr>
              <w:jc w:val="center"/>
            </w:pPr>
            <w:r>
              <w:t>Australia</w:t>
            </w:r>
          </w:p>
        </w:tc>
        <w:tc>
          <w:tcPr>
            <w:tcW w:w="1928" w:type="dxa"/>
          </w:tcPr>
          <w:p w14:paraId="038F3D59" w14:textId="79219762" w:rsidR="00B02E4F" w:rsidRDefault="00B02E4F" w:rsidP="00DA2B95">
            <w:pPr>
              <w:jc w:val="center"/>
            </w:pPr>
            <w:r>
              <w:t>4.45</w:t>
            </w:r>
          </w:p>
        </w:tc>
        <w:tc>
          <w:tcPr>
            <w:tcW w:w="2477" w:type="dxa"/>
          </w:tcPr>
          <w:p w14:paraId="13AE07F4" w14:textId="5DB1BA44" w:rsidR="00B02E4F" w:rsidRDefault="00B02E4F" w:rsidP="00DA2B95">
            <w:pPr>
              <w:jc w:val="center"/>
            </w:pPr>
            <w:r w:rsidRPr="004C0EBE">
              <w:t>Under construction</w:t>
            </w:r>
          </w:p>
        </w:tc>
      </w:tr>
      <w:tr w:rsidR="00B02E4F" w14:paraId="4A40E9A5" w14:textId="77777777" w:rsidTr="00DA2B95">
        <w:trPr>
          <w:jc w:val="center"/>
        </w:trPr>
        <w:tc>
          <w:tcPr>
            <w:tcW w:w="2564" w:type="dxa"/>
          </w:tcPr>
          <w:p w14:paraId="0881FC2F" w14:textId="2A75AE8A" w:rsidR="00B02E4F" w:rsidRDefault="00B02E4F" w:rsidP="00DA2B95">
            <w:pPr>
              <w:jc w:val="center"/>
            </w:pPr>
            <w:proofErr w:type="spellStart"/>
            <w:r>
              <w:t>Kribi</w:t>
            </w:r>
            <w:proofErr w:type="spellEnd"/>
            <w:r>
              <w:t xml:space="preserve"> LNG</w:t>
            </w:r>
          </w:p>
        </w:tc>
        <w:tc>
          <w:tcPr>
            <w:tcW w:w="2381" w:type="dxa"/>
          </w:tcPr>
          <w:p w14:paraId="7DB44B12" w14:textId="419D4C4D" w:rsidR="00B02E4F" w:rsidRDefault="00E341B5" w:rsidP="00DA2B95">
            <w:pPr>
              <w:jc w:val="center"/>
            </w:pPr>
            <w:r>
              <w:t>Cameroon</w:t>
            </w:r>
          </w:p>
        </w:tc>
        <w:tc>
          <w:tcPr>
            <w:tcW w:w="1928" w:type="dxa"/>
          </w:tcPr>
          <w:p w14:paraId="08B0F3FE" w14:textId="32D15BCF" w:rsidR="00B02E4F" w:rsidRDefault="00E341B5" w:rsidP="00DA2B95">
            <w:pPr>
              <w:jc w:val="center"/>
            </w:pPr>
            <w:r>
              <w:t>1.5</w:t>
            </w:r>
          </w:p>
        </w:tc>
        <w:tc>
          <w:tcPr>
            <w:tcW w:w="2477" w:type="dxa"/>
          </w:tcPr>
          <w:p w14:paraId="078D13E5" w14:textId="09CDFDDC" w:rsidR="00B02E4F" w:rsidRDefault="00B02E4F" w:rsidP="00DA2B95">
            <w:pPr>
              <w:jc w:val="center"/>
            </w:pPr>
            <w:r w:rsidRPr="004C0EBE">
              <w:t>Under construction</w:t>
            </w:r>
          </w:p>
        </w:tc>
      </w:tr>
      <w:tr w:rsidR="000934D7" w14:paraId="6E8165CC" w14:textId="77777777" w:rsidTr="00551C8D">
        <w:trPr>
          <w:jc w:val="center"/>
        </w:trPr>
        <w:tc>
          <w:tcPr>
            <w:tcW w:w="2564" w:type="dxa"/>
          </w:tcPr>
          <w:p w14:paraId="46FFFBEF" w14:textId="77777777" w:rsidR="000934D7" w:rsidRDefault="000934D7" w:rsidP="00551C8D">
            <w:pPr>
              <w:jc w:val="center"/>
            </w:pPr>
            <w:r>
              <w:lastRenderedPageBreak/>
              <w:t>LNG Canada</w:t>
            </w:r>
          </w:p>
        </w:tc>
        <w:tc>
          <w:tcPr>
            <w:tcW w:w="2381" w:type="dxa"/>
          </w:tcPr>
          <w:p w14:paraId="6570CB93" w14:textId="77777777" w:rsidR="000934D7" w:rsidRDefault="000934D7" w:rsidP="00551C8D">
            <w:pPr>
              <w:jc w:val="center"/>
            </w:pPr>
            <w:r>
              <w:t>Canada</w:t>
            </w:r>
          </w:p>
        </w:tc>
        <w:tc>
          <w:tcPr>
            <w:tcW w:w="1928" w:type="dxa"/>
          </w:tcPr>
          <w:p w14:paraId="333EB8BE" w14:textId="77777777" w:rsidR="000934D7" w:rsidRDefault="000934D7" w:rsidP="00551C8D">
            <w:pPr>
              <w:jc w:val="center"/>
            </w:pPr>
            <w:r>
              <w:t>17</w:t>
            </w:r>
          </w:p>
        </w:tc>
        <w:tc>
          <w:tcPr>
            <w:tcW w:w="2477" w:type="dxa"/>
          </w:tcPr>
          <w:p w14:paraId="084231E9" w14:textId="77777777" w:rsidR="000934D7" w:rsidRDefault="000934D7" w:rsidP="00551C8D">
            <w:pPr>
              <w:jc w:val="center"/>
            </w:pPr>
            <w:r w:rsidRPr="004C0EBE">
              <w:t>Under construction</w:t>
            </w:r>
          </w:p>
        </w:tc>
      </w:tr>
      <w:tr w:rsidR="000934D7" w14:paraId="7B1C1753" w14:textId="77777777" w:rsidTr="00551C8D">
        <w:trPr>
          <w:jc w:val="center"/>
        </w:trPr>
        <w:tc>
          <w:tcPr>
            <w:tcW w:w="2564" w:type="dxa"/>
          </w:tcPr>
          <w:p w14:paraId="001FFB5A" w14:textId="77777777" w:rsidR="000934D7" w:rsidRDefault="000934D7" w:rsidP="00551C8D">
            <w:pPr>
              <w:jc w:val="center"/>
            </w:pPr>
            <w:proofErr w:type="spellStart"/>
            <w:r>
              <w:t>Tortue</w:t>
            </w:r>
            <w:proofErr w:type="spellEnd"/>
            <w:r>
              <w:t xml:space="preserve"> LNG</w:t>
            </w:r>
          </w:p>
        </w:tc>
        <w:tc>
          <w:tcPr>
            <w:tcW w:w="2381" w:type="dxa"/>
          </w:tcPr>
          <w:p w14:paraId="65FA5C79" w14:textId="77777777" w:rsidR="000934D7" w:rsidRDefault="000934D7" w:rsidP="00551C8D">
            <w:pPr>
              <w:jc w:val="center"/>
            </w:pPr>
            <w:r>
              <w:t>Mauritania/Senegal</w:t>
            </w:r>
          </w:p>
        </w:tc>
        <w:tc>
          <w:tcPr>
            <w:tcW w:w="1928" w:type="dxa"/>
          </w:tcPr>
          <w:p w14:paraId="50BA7150" w14:textId="77777777" w:rsidR="000934D7" w:rsidRDefault="000934D7" w:rsidP="00551C8D">
            <w:pPr>
              <w:jc w:val="center"/>
            </w:pPr>
            <w:r>
              <w:t>2.5</w:t>
            </w:r>
          </w:p>
        </w:tc>
        <w:tc>
          <w:tcPr>
            <w:tcW w:w="2477" w:type="dxa"/>
          </w:tcPr>
          <w:p w14:paraId="1B99ECBF" w14:textId="77777777" w:rsidR="000934D7" w:rsidRDefault="000934D7" w:rsidP="00551C8D">
            <w:pPr>
              <w:jc w:val="center"/>
            </w:pPr>
            <w:r w:rsidRPr="004C0EBE">
              <w:t>Under construction</w:t>
            </w:r>
          </w:p>
        </w:tc>
      </w:tr>
      <w:tr w:rsidR="000934D7" w14:paraId="2197E127" w14:textId="77777777" w:rsidTr="00551C8D">
        <w:trPr>
          <w:jc w:val="center"/>
        </w:trPr>
        <w:tc>
          <w:tcPr>
            <w:tcW w:w="2564" w:type="dxa"/>
          </w:tcPr>
          <w:p w14:paraId="282E420C" w14:textId="77777777" w:rsidR="000934D7" w:rsidRDefault="000934D7" w:rsidP="00551C8D">
            <w:pPr>
              <w:jc w:val="center"/>
            </w:pPr>
            <w:r>
              <w:t>Coral FLNG</w:t>
            </w:r>
          </w:p>
        </w:tc>
        <w:tc>
          <w:tcPr>
            <w:tcW w:w="2381" w:type="dxa"/>
          </w:tcPr>
          <w:p w14:paraId="11A89EEE" w14:textId="77777777" w:rsidR="000934D7" w:rsidRDefault="000934D7" w:rsidP="00551C8D">
            <w:pPr>
              <w:jc w:val="center"/>
            </w:pPr>
            <w:r>
              <w:t>Mozambique</w:t>
            </w:r>
          </w:p>
        </w:tc>
        <w:tc>
          <w:tcPr>
            <w:tcW w:w="1928" w:type="dxa"/>
          </w:tcPr>
          <w:p w14:paraId="0CE5B867" w14:textId="77777777" w:rsidR="000934D7" w:rsidRDefault="000934D7" w:rsidP="00551C8D">
            <w:pPr>
              <w:jc w:val="center"/>
            </w:pPr>
            <w:r>
              <w:t>3.4</w:t>
            </w:r>
          </w:p>
        </w:tc>
        <w:tc>
          <w:tcPr>
            <w:tcW w:w="2477" w:type="dxa"/>
          </w:tcPr>
          <w:p w14:paraId="63DFF3C6" w14:textId="77777777" w:rsidR="000934D7" w:rsidRDefault="000934D7" w:rsidP="00551C8D">
            <w:pPr>
              <w:jc w:val="center"/>
            </w:pPr>
            <w:r w:rsidRPr="004C0EBE">
              <w:t>Under construction</w:t>
            </w:r>
          </w:p>
        </w:tc>
      </w:tr>
      <w:tr w:rsidR="000934D7" w14:paraId="0BCEC8CF" w14:textId="77777777" w:rsidTr="00551C8D">
        <w:trPr>
          <w:jc w:val="center"/>
        </w:trPr>
        <w:tc>
          <w:tcPr>
            <w:tcW w:w="2564" w:type="dxa"/>
          </w:tcPr>
          <w:p w14:paraId="1DE7A048" w14:textId="77777777" w:rsidR="000934D7" w:rsidRDefault="000934D7" w:rsidP="00551C8D">
            <w:pPr>
              <w:jc w:val="center"/>
            </w:pPr>
            <w:r>
              <w:t>Yamal LNG Train 3</w:t>
            </w:r>
          </w:p>
        </w:tc>
        <w:tc>
          <w:tcPr>
            <w:tcW w:w="2381" w:type="dxa"/>
          </w:tcPr>
          <w:p w14:paraId="59FCAE1E" w14:textId="77777777" w:rsidR="000934D7" w:rsidRDefault="000934D7" w:rsidP="00551C8D">
            <w:pPr>
              <w:jc w:val="center"/>
            </w:pPr>
            <w:r>
              <w:t>Russia</w:t>
            </w:r>
          </w:p>
        </w:tc>
        <w:tc>
          <w:tcPr>
            <w:tcW w:w="1928" w:type="dxa"/>
          </w:tcPr>
          <w:p w14:paraId="4DB09C13" w14:textId="77777777" w:rsidR="000934D7" w:rsidRDefault="000934D7" w:rsidP="00551C8D">
            <w:pPr>
              <w:jc w:val="center"/>
            </w:pPr>
            <w:r>
              <w:t>5.5</w:t>
            </w:r>
          </w:p>
        </w:tc>
        <w:tc>
          <w:tcPr>
            <w:tcW w:w="2477" w:type="dxa"/>
          </w:tcPr>
          <w:p w14:paraId="0B606351" w14:textId="77777777" w:rsidR="000934D7" w:rsidRDefault="000934D7" w:rsidP="00551C8D">
            <w:pPr>
              <w:jc w:val="center"/>
            </w:pPr>
            <w:r w:rsidRPr="004C0EBE">
              <w:t>Under construction</w:t>
            </w:r>
          </w:p>
        </w:tc>
      </w:tr>
      <w:tr w:rsidR="00B04CF2" w14:paraId="0E8A752B" w14:textId="77777777" w:rsidTr="00DA2B95">
        <w:trPr>
          <w:jc w:val="center"/>
        </w:trPr>
        <w:tc>
          <w:tcPr>
            <w:tcW w:w="2564" w:type="dxa"/>
          </w:tcPr>
          <w:p w14:paraId="2453731D" w14:textId="77777777" w:rsidR="00B04CF2" w:rsidRDefault="00B04CF2" w:rsidP="00DA2B95">
            <w:pPr>
              <w:jc w:val="center"/>
            </w:pPr>
            <w:r>
              <w:t>Golden Pass LNG Train 1-3</w:t>
            </w:r>
          </w:p>
        </w:tc>
        <w:tc>
          <w:tcPr>
            <w:tcW w:w="2381" w:type="dxa"/>
          </w:tcPr>
          <w:p w14:paraId="3073EB97" w14:textId="77777777" w:rsidR="00B04CF2" w:rsidRDefault="00B04CF2" w:rsidP="00DA2B95">
            <w:pPr>
              <w:jc w:val="center"/>
            </w:pPr>
            <w:r>
              <w:t>US</w:t>
            </w:r>
          </w:p>
        </w:tc>
        <w:tc>
          <w:tcPr>
            <w:tcW w:w="1928" w:type="dxa"/>
          </w:tcPr>
          <w:p w14:paraId="6A21C157" w14:textId="61BEC957" w:rsidR="00B04CF2" w:rsidRDefault="00B04CF2" w:rsidP="00DA2B95">
            <w:pPr>
              <w:jc w:val="center"/>
            </w:pPr>
            <w:r>
              <w:t>15</w:t>
            </w:r>
          </w:p>
        </w:tc>
        <w:tc>
          <w:tcPr>
            <w:tcW w:w="2477" w:type="dxa"/>
          </w:tcPr>
          <w:p w14:paraId="2C031D5E" w14:textId="7F2C794B" w:rsidR="00B04CF2" w:rsidRDefault="00B04CF2" w:rsidP="00DA2B95">
            <w:pPr>
              <w:jc w:val="center"/>
            </w:pPr>
            <w:r w:rsidRPr="004C0EBE">
              <w:t>Under construction</w:t>
            </w:r>
          </w:p>
        </w:tc>
      </w:tr>
      <w:tr w:rsidR="003A0C66" w14:paraId="1F0F8C02" w14:textId="77777777" w:rsidTr="00DA2B95">
        <w:trPr>
          <w:jc w:val="center"/>
        </w:trPr>
        <w:tc>
          <w:tcPr>
            <w:tcW w:w="2564" w:type="dxa"/>
          </w:tcPr>
          <w:p w14:paraId="1739F033" w14:textId="2FF3C83A" w:rsidR="003A0C66" w:rsidRDefault="003A0C66" w:rsidP="00DA2B95">
            <w:pPr>
              <w:jc w:val="center"/>
            </w:pPr>
            <w:r>
              <w:t>Freeport LNG Train 1-3</w:t>
            </w:r>
          </w:p>
        </w:tc>
        <w:tc>
          <w:tcPr>
            <w:tcW w:w="2381" w:type="dxa"/>
          </w:tcPr>
          <w:p w14:paraId="24C0823C" w14:textId="0BB8B67D" w:rsidR="003A0C66" w:rsidRDefault="003A0C66" w:rsidP="00DA2B95">
            <w:pPr>
              <w:jc w:val="center"/>
            </w:pPr>
            <w:r>
              <w:t>US</w:t>
            </w:r>
          </w:p>
        </w:tc>
        <w:tc>
          <w:tcPr>
            <w:tcW w:w="1928" w:type="dxa"/>
          </w:tcPr>
          <w:p w14:paraId="085109FF" w14:textId="2C04B0F5" w:rsidR="003A0C66" w:rsidRDefault="003A0C66" w:rsidP="00DA2B95">
            <w:pPr>
              <w:jc w:val="center"/>
            </w:pPr>
            <w:r>
              <w:t>15</w:t>
            </w:r>
          </w:p>
        </w:tc>
        <w:tc>
          <w:tcPr>
            <w:tcW w:w="2477" w:type="dxa"/>
          </w:tcPr>
          <w:p w14:paraId="27F93914" w14:textId="499A35BF" w:rsidR="003A0C66" w:rsidRPr="004C0EBE" w:rsidRDefault="003A0C66" w:rsidP="00DA2B95">
            <w:pPr>
              <w:jc w:val="center"/>
            </w:pPr>
            <w:r w:rsidRPr="00417773">
              <w:t>Under construction</w:t>
            </w:r>
          </w:p>
        </w:tc>
      </w:tr>
      <w:tr w:rsidR="003A0C66" w14:paraId="240108BC" w14:textId="77777777" w:rsidTr="00DA2B95">
        <w:trPr>
          <w:jc w:val="center"/>
        </w:trPr>
        <w:tc>
          <w:tcPr>
            <w:tcW w:w="2564" w:type="dxa"/>
          </w:tcPr>
          <w:p w14:paraId="07046AC6" w14:textId="2D7CEC9C" w:rsidR="003A0C66" w:rsidRDefault="003A0C66" w:rsidP="00DA2B95">
            <w:pPr>
              <w:jc w:val="center"/>
            </w:pPr>
            <w:r>
              <w:t>Cameron LNG Trains 1-3</w:t>
            </w:r>
          </w:p>
        </w:tc>
        <w:tc>
          <w:tcPr>
            <w:tcW w:w="2381" w:type="dxa"/>
          </w:tcPr>
          <w:p w14:paraId="4F80E992" w14:textId="4DBEB1FC" w:rsidR="003A0C66" w:rsidRDefault="003A0C66" w:rsidP="00DA2B95">
            <w:pPr>
              <w:jc w:val="center"/>
            </w:pPr>
            <w:r>
              <w:t>US</w:t>
            </w:r>
          </w:p>
        </w:tc>
        <w:tc>
          <w:tcPr>
            <w:tcW w:w="1928" w:type="dxa"/>
          </w:tcPr>
          <w:p w14:paraId="1F8D765C" w14:textId="6E48DBBB" w:rsidR="003A0C66" w:rsidRDefault="003A0C66" w:rsidP="00DA2B95">
            <w:pPr>
              <w:jc w:val="center"/>
            </w:pPr>
            <w:r>
              <w:t>12</w:t>
            </w:r>
          </w:p>
        </w:tc>
        <w:tc>
          <w:tcPr>
            <w:tcW w:w="2477" w:type="dxa"/>
          </w:tcPr>
          <w:p w14:paraId="1102659E" w14:textId="3C0CBE6C" w:rsidR="003A0C66" w:rsidRPr="004C0EBE" w:rsidRDefault="003A0C66" w:rsidP="00DA2B95">
            <w:pPr>
              <w:jc w:val="center"/>
            </w:pPr>
            <w:r w:rsidRPr="00417773">
              <w:t>Under construction</w:t>
            </w:r>
          </w:p>
        </w:tc>
      </w:tr>
      <w:tr w:rsidR="003A0C66" w14:paraId="49019321" w14:textId="77777777" w:rsidTr="00DA2B95">
        <w:trPr>
          <w:jc w:val="center"/>
        </w:trPr>
        <w:tc>
          <w:tcPr>
            <w:tcW w:w="2564" w:type="dxa"/>
          </w:tcPr>
          <w:p w14:paraId="0D0DDF8E" w14:textId="3FCE7FF5" w:rsidR="003A0C66" w:rsidRDefault="003A0C66" w:rsidP="00DA2B95">
            <w:pPr>
              <w:jc w:val="center"/>
            </w:pPr>
            <w:r>
              <w:t>Corpus Christi Train 2-3</w:t>
            </w:r>
          </w:p>
        </w:tc>
        <w:tc>
          <w:tcPr>
            <w:tcW w:w="2381" w:type="dxa"/>
          </w:tcPr>
          <w:p w14:paraId="6845FE82" w14:textId="65270440" w:rsidR="003A0C66" w:rsidRDefault="003A0C66" w:rsidP="00DA2B95">
            <w:pPr>
              <w:jc w:val="center"/>
            </w:pPr>
            <w:r>
              <w:t>US</w:t>
            </w:r>
          </w:p>
        </w:tc>
        <w:tc>
          <w:tcPr>
            <w:tcW w:w="1928" w:type="dxa"/>
          </w:tcPr>
          <w:p w14:paraId="6041BCB5" w14:textId="2BA2BA83" w:rsidR="003A0C66" w:rsidRDefault="003A0C66" w:rsidP="00DA2B95">
            <w:pPr>
              <w:jc w:val="center"/>
            </w:pPr>
            <w:r>
              <w:t>9</w:t>
            </w:r>
          </w:p>
        </w:tc>
        <w:tc>
          <w:tcPr>
            <w:tcW w:w="2477" w:type="dxa"/>
          </w:tcPr>
          <w:p w14:paraId="54F152C8" w14:textId="4FF20D80" w:rsidR="003A0C66" w:rsidRPr="004C0EBE" w:rsidRDefault="003A0C66" w:rsidP="00DA2B95">
            <w:pPr>
              <w:jc w:val="center"/>
            </w:pPr>
            <w:r w:rsidRPr="00417773">
              <w:t>Under construction</w:t>
            </w:r>
          </w:p>
        </w:tc>
      </w:tr>
      <w:tr w:rsidR="0010314D" w:rsidRPr="00ED5619" w14:paraId="05248738" w14:textId="77777777" w:rsidTr="00DA2B95">
        <w:trPr>
          <w:jc w:val="center"/>
        </w:trPr>
        <w:tc>
          <w:tcPr>
            <w:tcW w:w="9350" w:type="dxa"/>
            <w:gridSpan w:val="4"/>
          </w:tcPr>
          <w:p w14:paraId="291426E2" w14:textId="0194AA9A" w:rsidR="0010314D" w:rsidRPr="00ED5619" w:rsidRDefault="0010314D" w:rsidP="00DA2B95">
            <w:pPr>
              <w:jc w:val="center"/>
              <w:rPr>
                <w:i/>
              </w:rPr>
            </w:pPr>
            <w:r w:rsidRPr="00ED5619">
              <w:rPr>
                <w:i/>
              </w:rPr>
              <w:t>Pre-FID (Announced/FEED)</w:t>
            </w:r>
            <w:r w:rsidR="00DA5260" w:rsidRPr="00ED5619">
              <w:rPr>
                <w:i/>
              </w:rPr>
              <w:t xml:space="preserve"> assumed to be online before 2030</w:t>
            </w:r>
            <w:r w:rsidR="00D22166" w:rsidRPr="00ED5619">
              <w:rPr>
                <w:i/>
              </w:rPr>
              <w:t>, “Second wave”</w:t>
            </w:r>
          </w:p>
        </w:tc>
      </w:tr>
      <w:tr w:rsidR="000934D7" w14:paraId="5D7D30F4" w14:textId="77777777" w:rsidTr="00551C8D">
        <w:trPr>
          <w:jc w:val="center"/>
        </w:trPr>
        <w:tc>
          <w:tcPr>
            <w:tcW w:w="2564" w:type="dxa"/>
          </w:tcPr>
          <w:p w14:paraId="75BFC06D" w14:textId="77777777" w:rsidR="000934D7" w:rsidRDefault="000934D7" w:rsidP="00551C8D">
            <w:pPr>
              <w:jc w:val="center"/>
            </w:pPr>
            <w:proofErr w:type="spellStart"/>
            <w:r>
              <w:t>Goldboro</w:t>
            </w:r>
            <w:proofErr w:type="spellEnd"/>
            <w:r>
              <w:t xml:space="preserve"> LNG</w:t>
            </w:r>
          </w:p>
        </w:tc>
        <w:tc>
          <w:tcPr>
            <w:tcW w:w="2381" w:type="dxa"/>
          </w:tcPr>
          <w:p w14:paraId="58460431" w14:textId="77777777" w:rsidR="000934D7" w:rsidRDefault="000934D7" w:rsidP="00551C8D">
            <w:pPr>
              <w:jc w:val="center"/>
            </w:pPr>
            <w:r>
              <w:t>Canada</w:t>
            </w:r>
          </w:p>
        </w:tc>
        <w:tc>
          <w:tcPr>
            <w:tcW w:w="1928" w:type="dxa"/>
          </w:tcPr>
          <w:p w14:paraId="111BA98A" w14:textId="77777777" w:rsidR="000934D7" w:rsidRDefault="000934D7" w:rsidP="00551C8D">
            <w:pPr>
              <w:jc w:val="center"/>
            </w:pPr>
            <w:r>
              <w:t>10</w:t>
            </w:r>
          </w:p>
        </w:tc>
        <w:tc>
          <w:tcPr>
            <w:tcW w:w="2477" w:type="dxa"/>
          </w:tcPr>
          <w:p w14:paraId="6D43CF86" w14:textId="77777777" w:rsidR="000934D7" w:rsidRDefault="000934D7" w:rsidP="00551C8D">
            <w:pPr>
              <w:jc w:val="center"/>
            </w:pPr>
            <w:r>
              <w:t>Approved</w:t>
            </w:r>
          </w:p>
        </w:tc>
      </w:tr>
      <w:tr w:rsidR="000934D7" w14:paraId="2525371A" w14:textId="77777777" w:rsidTr="00551C8D">
        <w:trPr>
          <w:jc w:val="center"/>
        </w:trPr>
        <w:tc>
          <w:tcPr>
            <w:tcW w:w="2564" w:type="dxa"/>
          </w:tcPr>
          <w:p w14:paraId="26CBE26D" w14:textId="77777777" w:rsidR="000934D7" w:rsidRDefault="000934D7" w:rsidP="00551C8D">
            <w:pPr>
              <w:jc w:val="center"/>
            </w:pPr>
            <w:r>
              <w:t>Bear Head LNG</w:t>
            </w:r>
          </w:p>
        </w:tc>
        <w:tc>
          <w:tcPr>
            <w:tcW w:w="2381" w:type="dxa"/>
          </w:tcPr>
          <w:p w14:paraId="76BA24A5" w14:textId="77777777" w:rsidR="000934D7" w:rsidRDefault="000934D7" w:rsidP="00551C8D">
            <w:pPr>
              <w:jc w:val="center"/>
            </w:pPr>
            <w:r>
              <w:t>Canada</w:t>
            </w:r>
          </w:p>
        </w:tc>
        <w:tc>
          <w:tcPr>
            <w:tcW w:w="1928" w:type="dxa"/>
          </w:tcPr>
          <w:p w14:paraId="5E1CBEDB" w14:textId="77777777" w:rsidR="000934D7" w:rsidRDefault="000934D7" w:rsidP="00551C8D">
            <w:pPr>
              <w:jc w:val="center"/>
            </w:pPr>
            <w:r>
              <w:t>12</w:t>
            </w:r>
          </w:p>
        </w:tc>
        <w:tc>
          <w:tcPr>
            <w:tcW w:w="2477" w:type="dxa"/>
          </w:tcPr>
          <w:p w14:paraId="0FD2CD93" w14:textId="77777777" w:rsidR="000934D7" w:rsidRDefault="000934D7" w:rsidP="00551C8D">
            <w:pPr>
              <w:jc w:val="center"/>
            </w:pPr>
            <w:r>
              <w:t>Approved</w:t>
            </w:r>
          </w:p>
        </w:tc>
      </w:tr>
      <w:tr w:rsidR="000934D7" w14:paraId="3933369D" w14:textId="77777777" w:rsidTr="00551C8D">
        <w:trPr>
          <w:jc w:val="center"/>
        </w:trPr>
        <w:tc>
          <w:tcPr>
            <w:tcW w:w="2564" w:type="dxa"/>
          </w:tcPr>
          <w:p w14:paraId="15ABA198" w14:textId="77777777" w:rsidR="000934D7" w:rsidRDefault="000934D7" w:rsidP="00551C8D">
            <w:pPr>
              <w:jc w:val="center"/>
            </w:pPr>
            <w:r>
              <w:t>Costa Azul LNG</w:t>
            </w:r>
          </w:p>
        </w:tc>
        <w:tc>
          <w:tcPr>
            <w:tcW w:w="2381" w:type="dxa"/>
          </w:tcPr>
          <w:p w14:paraId="7462F96A" w14:textId="77777777" w:rsidR="000934D7" w:rsidRDefault="000934D7" w:rsidP="00551C8D">
            <w:pPr>
              <w:jc w:val="center"/>
            </w:pPr>
            <w:r>
              <w:t>Mexico</w:t>
            </w:r>
          </w:p>
        </w:tc>
        <w:tc>
          <w:tcPr>
            <w:tcW w:w="1928" w:type="dxa"/>
          </w:tcPr>
          <w:p w14:paraId="1407565D" w14:textId="77777777" w:rsidR="000934D7" w:rsidRDefault="000934D7" w:rsidP="00551C8D">
            <w:pPr>
              <w:jc w:val="center"/>
            </w:pPr>
            <w:r>
              <w:t>2.4</w:t>
            </w:r>
          </w:p>
        </w:tc>
        <w:tc>
          <w:tcPr>
            <w:tcW w:w="2477" w:type="dxa"/>
          </w:tcPr>
          <w:p w14:paraId="7888F530" w14:textId="77777777" w:rsidR="000934D7" w:rsidRDefault="000934D7" w:rsidP="00551C8D">
            <w:pPr>
              <w:jc w:val="center"/>
            </w:pPr>
            <w:r>
              <w:t>Announced</w:t>
            </w:r>
          </w:p>
        </w:tc>
      </w:tr>
      <w:tr w:rsidR="000934D7" w14:paraId="76B6F001" w14:textId="77777777" w:rsidTr="00551C8D">
        <w:trPr>
          <w:jc w:val="center"/>
        </w:trPr>
        <w:tc>
          <w:tcPr>
            <w:tcW w:w="2564" w:type="dxa"/>
          </w:tcPr>
          <w:p w14:paraId="73C37DFA" w14:textId="77777777" w:rsidR="000934D7" w:rsidRDefault="000934D7" w:rsidP="00551C8D">
            <w:pPr>
              <w:jc w:val="center"/>
            </w:pPr>
            <w:r>
              <w:t>Rovuma LNG</w:t>
            </w:r>
          </w:p>
        </w:tc>
        <w:tc>
          <w:tcPr>
            <w:tcW w:w="2381" w:type="dxa"/>
          </w:tcPr>
          <w:p w14:paraId="2DC4C640" w14:textId="77777777" w:rsidR="000934D7" w:rsidRDefault="000934D7" w:rsidP="00551C8D">
            <w:pPr>
              <w:jc w:val="center"/>
            </w:pPr>
            <w:r>
              <w:t>Mozambique</w:t>
            </w:r>
          </w:p>
        </w:tc>
        <w:tc>
          <w:tcPr>
            <w:tcW w:w="1928" w:type="dxa"/>
          </w:tcPr>
          <w:p w14:paraId="70F64469" w14:textId="77777777" w:rsidR="000934D7" w:rsidRDefault="000934D7" w:rsidP="00551C8D">
            <w:pPr>
              <w:jc w:val="center"/>
            </w:pPr>
            <w:r>
              <w:t>15.2</w:t>
            </w:r>
          </w:p>
        </w:tc>
        <w:tc>
          <w:tcPr>
            <w:tcW w:w="2477" w:type="dxa"/>
          </w:tcPr>
          <w:p w14:paraId="32AB7512" w14:textId="77777777" w:rsidR="000934D7" w:rsidRDefault="000934D7" w:rsidP="00551C8D">
            <w:pPr>
              <w:jc w:val="center"/>
            </w:pPr>
            <w:r>
              <w:t>Announced</w:t>
            </w:r>
          </w:p>
        </w:tc>
      </w:tr>
      <w:tr w:rsidR="000934D7" w14:paraId="1596C0E4" w14:textId="77777777" w:rsidTr="00551C8D">
        <w:trPr>
          <w:jc w:val="center"/>
        </w:trPr>
        <w:tc>
          <w:tcPr>
            <w:tcW w:w="2564" w:type="dxa"/>
          </w:tcPr>
          <w:p w14:paraId="6322469B" w14:textId="77777777" w:rsidR="000934D7" w:rsidRDefault="000934D7" w:rsidP="00551C8D">
            <w:pPr>
              <w:jc w:val="center"/>
            </w:pPr>
            <w:r>
              <w:t>Mozambique LNG</w:t>
            </w:r>
          </w:p>
        </w:tc>
        <w:tc>
          <w:tcPr>
            <w:tcW w:w="2381" w:type="dxa"/>
          </w:tcPr>
          <w:p w14:paraId="34FB860B" w14:textId="77777777" w:rsidR="000934D7" w:rsidRDefault="000934D7" w:rsidP="00551C8D">
            <w:pPr>
              <w:jc w:val="center"/>
            </w:pPr>
            <w:r>
              <w:t>Mozambique</w:t>
            </w:r>
          </w:p>
        </w:tc>
        <w:tc>
          <w:tcPr>
            <w:tcW w:w="1928" w:type="dxa"/>
          </w:tcPr>
          <w:p w14:paraId="305236C1" w14:textId="77777777" w:rsidR="000934D7" w:rsidRDefault="000934D7" w:rsidP="00551C8D">
            <w:pPr>
              <w:jc w:val="center"/>
            </w:pPr>
            <w:r>
              <w:t>10</w:t>
            </w:r>
          </w:p>
        </w:tc>
        <w:tc>
          <w:tcPr>
            <w:tcW w:w="2477" w:type="dxa"/>
          </w:tcPr>
          <w:p w14:paraId="5D0B4D06" w14:textId="77777777" w:rsidR="000934D7" w:rsidRDefault="000934D7" w:rsidP="00551C8D">
            <w:pPr>
              <w:jc w:val="center"/>
            </w:pPr>
            <w:r>
              <w:t>Announced</w:t>
            </w:r>
          </w:p>
        </w:tc>
      </w:tr>
      <w:tr w:rsidR="000934D7" w14:paraId="78CD1A1A" w14:textId="77777777" w:rsidTr="00551C8D">
        <w:trPr>
          <w:jc w:val="center"/>
        </w:trPr>
        <w:tc>
          <w:tcPr>
            <w:tcW w:w="2564" w:type="dxa"/>
          </w:tcPr>
          <w:p w14:paraId="0565DACE" w14:textId="77777777" w:rsidR="000934D7" w:rsidRDefault="000934D7" w:rsidP="00551C8D">
            <w:pPr>
              <w:jc w:val="center"/>
            </w:pPr>
            <w:r>
              <w:t>Qatar LNG+</w:t>
            </w:r>
          </w:p>
        </w:tc>
        <w:tc>
          <w:tcPr>
            <w:tcW w:w="2381" w:type="dxa"/>
          </w:tcPr>
          <w:p w14:paraId="2F87CD87" w14:textId="77777777" w:rsidR="000934D7" w:rsidRDefault="000934D7" w:rsidP="00551C8D">
            <w:pPr>
              <w:jc w:val="center"/>
            </w:pPr>
            <w:r>
              <w:t>Qatar</w:t>
            </w:r>
          </w:p>
        </w:tc>
        <w:tc>
          <w:tcPr>
            <w:tcW w:w="1928" w:type="dxa"/>
          </w:tcPr>
          <w:p w14:paraId="07E492D5" w14:textId="77777777" w:rsidR="000934D7" w:rsidRDefault="000934D7" w:rsidP="00551C8D">
            <w:pPr>
              <w:jc w:val="center"/>
            </w:pPr>
            <w:r>
              <w:t>30</w:t>
            </w:r>
          </w:p>
        </w:tc>
        <w:tc>
          <w:tcPr>
            <w:tcW w:w="2477" w:type="dxa"/>
          </w:tcPr>
          <w:p w14:paraId="66E1A03C" w14:textId="77777777" w:rsidR="000934D7" w:rsidRDefault="000934D7" w:rsidP="00551C8D">
            <w:pPr>
              <w:jc w:val="center"/>
            </w:pPr>
            <w:r>
              <w:t>Announced</w:t>
            </w:r>
          </w:p>
        </w:tc>
      </w:tr>
      <w:tr w:rsidR="00EC4308" w14:paraId="1A38461B" w14:textId="77777777" w:rsidTr="00DA2B95">
        <w:trPr>
          <w:jc w:val="center"/>
        </w:trPr>
        <w:tc>
          <w:tcPr>
            <w:tcW w:w="2564" w:type="dxa"/>
          </w:tcPr>
          <w:p w14:paraId="38D115EA" w14:textId="1A8FC9F3" w:rsidR="00EC4308" w:rsidRDefault="0010314D" w:rsidP="00DA2B95">
            <w:pPr>
              <w:jc w:val="center"/>
            </w:pPr>
            <w:r>
              <w:t>Arctic LNG 2</w:t>
            </w:r>
          </w:p>
        </w:tc>
        <w:tc>
          <w:tcPr>
            <w:tcW w:w="2381" w:type="dxa"/>
          </w:tcPr>
          <w:p w14:paraId="484282B5" w14:textId="3DC7BA80" w:rsidR="00EC4308" w:rsidRDefault="009B11C8" w:rsidP="00DA2B95">
            <w:pPr>
              <w:jc w:val="center"/>
            </w:pPr>
            <w:r>
              <w:t>Russia</w:t>
            </w:r>
          </w:p>
        </w:tc>
        <w:tc>
          <w:tcPr>
            <w:tcW w:w="1928" w:type="dxa"/>
          </w:tcPr>
          <w:p w14:paraId="3A9D2548" w14:textId="6E257D83" w:rsidR="00EC4308" w:rsidRDefault="00195361" w:rsidP="00DA2B95">
            <w:pPr>
              <w:jc w:val="center"/>
            </w:pPr>
            <w:r>
              <w:t>20</w:t>
            </w:r>
          </w:p>
        </w:tc>
        <w:tc>
          <w:tcPr>
            <w:tcW w:w="2477" w:type="dxa"/>
          </w:tcPr>
          <w:p w14:paraId="39AC1898" w14:textId="38EF4992" w:rsidR="00EC4308" w:rsidRDefault="00B02E4F" w:rsidP="00DA2B95">
            <w:pPr>
              <w:jc w:val="center"/>
            </w:pPr>
            <w:r>
              <w:t>Announced</w:t>
            </w:r>
          </w:p>
        </w:tc>
      </w:tr>
      <w:tr w:rsidR="00EC4308" w14:paraId="54CEB92E" w14:textId="77777777" w:rsidTr="00DA2B95">
        <w:trPr>
          <w:jc w:val="center"/>
        </w:trPr>
        <w:tc>
          <w:tcPr>
            <w:tcW w:w="2564" w:type="dxa"/>
          </w:tcPr>
          <w:p w14:paraId="7EB902AE" w14:textId="0213A6B5" w:rsidR="00EC4308" w:rsidRDefault="00EC4308" w:rsidP="00DA2B95">
            <w:pPr>
              <w:jc w:val="center"/>
            </w:pPr>
            <w:r>
              <w:t xml:space="preserve">Jordan </w:t>
            </w:r>
            <w:r w:rsidR="00E341B5">
              <w:t>Cove</w:t>
            </w:r>
          </w:p>
        </w:tc>
        <w:tc>
          <w:tcPr>
            <w:tcW w:w="2381" w:type="dxa"/>
          </w:tcPr>
          <w:p w14:paraId="1AA8DBBA" w14:textId="3A833AC7" w:rsidR="00EC4308" w:rsidRDefault="00926729" w:rsidP="00DA2B95">
            <w:pPr>
              <w:jc w:val="center"/>
            </w:pPr>
            <w:r>
              <w:t>US</w:t>
            </w:r>
          </w:p>
        </w:tc>
        <w:tc>
          <w:tcPr>
            <w:tcW w:w="1928" w:type="dxa"/>
          </w:tcPr>
          <w:p w14:paraId="5B0234A0" w14:textId="448C32A9" w:rsidR="00EC4308" w:rsidRDefault="00E341B5" w:rsidP="00DA2B95">
            <w:pPr>
              <w:jc w:val="center"/>
            </w:pPr>
            <w:r>
              <w:t>6</w:t>
            </w:r>
          </w:p>
        </w:tc>
        <w:tc>
          <w:tcPr>
            <w:tcW w:w="2477" w:type="dxa"/>
          </w:tcPr>
          <w:p w14:paraId="7EA9D7F4" w14:textId="5D21E90D" w:rsidR="00EC4308" w:rsidRDefault="00E341B5" w:rsidP="00DA2B95">
            <w:pPr>
              <w:jc w:val="center"/>
            </w:pPr>
            <w:r>
              <w:t>Announced</w:t>
            </w:r>
          </w:p>
        </w:tc>
      </w:tr>
      <w:tr w:rsidR="00EC4308" w14:paraId="6CF9A5A9" w14:textId="77777777" w:rsidTr="00DA2B95">
        <w:trPr>
          <w:jc w:val="center"/>
        </w:trPr>
        <w:tc>
          <w:tcPr>
            <w:tcW w:w="2564" w:type="dxa"/>
          </w:tcPr>
          <w:p w14:paraId="5FB5A85E" w14:textId="245AFC8D" w:rsidR="00EC4308" w:rsidRDefault="000340A9" w:rsidP="00DA2B95">
            <w:pPr>
              <w:jc w:val="center"/>
            </w:pPr>
            <w:r>
              <w:t>Sabine Pass</w:t>
            </w:r>
            <w:r w:rsidR="006B1B10">
              <w:t xml:space="preserve"> LNG</w:t>
            </w:r>
            <w:r w:rsidR="00B02E4F">
              <w:t xml:space="preserve"> Train </w:t>
            </w:r>
            <w:r w:rsidR="00E341B5">
              <w:t>6</w:t>
            </w:r>
          </w:p>
        </w:tc>
        <w:tc>
          <w:tcPr>
            <w:tcW w:w="2381" w:type="dxa"/>
          </w:tcPr>
          <w:p w14:paraId="5708F5D0" w14:textId="2B3C4E57" w:rsidR="00EC4308" w:rsidRDefault="00926729" w:rsidP="00DA2B95">
            <w:pPr>
              <w:jc w:val="center"/>
            </w:pPr>
            <w:r>
              <w:t>US</w:t>
            </w:r>
          </w:p>
        </w:tc>
        <w:tc>
          <w:tcPr>
            <w:tcW w:w="1928" w:type="dxa"/>
          </w:tcPr>
          <w:p w14:paraId="0DCB1A56" w14:textId="727BA40A" w:rsidR="00EC4308" w:rsidRDefault="006B1B10" w:rsidP="00DA2B95">
            <w:pPr>
              <w:jc w:val="center"/>
            </w:pPr>
            <w:r>
              <w:t>4.5</w:t>
            </w:r>
          </w:p>
        </w:tc>
        <w:tc>
          <w:tcPr>
            <w:tcW w:w="2477" w:type="dxa"/>
          </w:tcPr>
          <w:p w14:paraId="43BE0CB0" w14:textId="053E563F" w:rsidR="00EC4308" w:rsidRDefault="00B04CF2" w:rsidP="00DA2B95">
            <w:pPr>
              <w:jc w:val="center"/>
            </w:pPr>
            <w:r>
              <w:t>Announced</w:t>
            </w:r>
          </w:p>
        </w:tc>
      </w:tr>
      <w:tr w:rsidR="000340A9" w14:paraId="5DB0BE77" w14:textId="77777777" w:rsidTr="00DA2B95">
        <w:trPr>
          <w:jc w:val="center"/>
        </w:trPr>
        <w:tc>
          <w:tcPr>
            <w:tcW w:w="2564" w:type="dxa"/>
          </w:tcPr>
          <w:p w14:paraId="58946CD5" w14:textId="696E3E13" w:rsidR="000340A9" w:rsidRDefault="000340A9" w:rsidP="00DA2B95">
            <w:pPr>
              <w:jc w:val="center"/>
            </w:pPr>
            <w:r>
              <w:t xml:space="preserve">Calcasieu </w:t>
            </w:r>
            <w:r w:rsidR="006B1B10">
              <w:t>LNG</w:t>
            </w:r>
          </w:p>
        </w:tc>
        <w:tc>
          <w:tcPr>
            <w:tcW w:w="2381" w:type="dxa"/>
          </w:tcPr>
          <w:p w14:paraId="512005F0" w14:textId="42ABCA21" w:rsidR="000340A9" w:rsidRDefault="00926729" w:rsidP="00DA2B95">
            <w:pPr>
              <w:jc w:val="center"/>
            </w:pPr>
            <w:r>
              <w:t>US</w:t>
            </w:r>
          </w:p>
        </w:tc>
        <w:tc>
          <w:tcPr>
            <w:tcW w:w="1928" w:type="dxa"/>
          </w:tcPr>
          <w:p w14:paraId="5490AADE" w14:textId="1B98E5DB" w:rsidR="000340A9" w:rsidRDefault="006B1B10" w:rsidP="00DA2B95">
            <w:pPr>
              <w:jc w:val="center"/>
            </w:pPr>
            <w:r>
              <w:t>10</w:t>
            </w:r>
          </w:p>
        </w:tc>
        <w:tc>
          <w:tcPr>
            <w:tcW w:w="2477" w:type="dxa"/>
          </w:tcPr>
          <w:p w14:paraId="4CF7E8F4" w14:textId="6CF3D9D7" w:rsidR="000340A9" w:rsidRDefault="00B02E4F" w:rsidP="00DA2B95">
            <w:pPr>
              <w:jc w:val="center"/>
            </w:pPr>
            <w:r>
              <w:t>Announced</w:t>
            </w:r>
          </w:p>
        </w:tc>
      </w:tr>
      <w:tr w:rsidR="00811182" w14:paraId="0DF8AACC" w14:textId="77777777" w:rsidTr="00DA2B95">
        <w:trPr>
          <w:jc w:val="center"/>
        </w:trPr>
        <w:tc>
          <w:tcPr>
            <w:tcW w:w="2564" w:type="dxa"/>
          </w:tcPr>
          <w:p w14:paraId="0501C65E" w14:textId="5C1F72EE" w:rsidR="00811182" w:rsidRDefault="00811182" w:rsidP="00DA2B95">
            <w:pPr>
              <w:jc w:val="center"/>
            </w:pPr>
            <w:r>
              <w:t xml:space="preserve">Freeport </w:t>
            </w:r>
            <w:r w:rsidR="006B1B10">
              <w:t xml:space="preserve">LNG </w:t>
            </w:r>
            <w:r>
              <w:t>Train 4</w:t>
            </w:r>
          </w:p>
        </w:tc>
        <w:tc>
          <w:tcPr>
            <w:tcW w:w="2381" w:type="dxa"/>
          </w:tcPr>
          <w:p w14:paraId="3023A93D" w14:textId="7DB55B49" w:rsidR="00811182" w:rsidRDefault="00926729" w:rsidP="00DA2B95">
            <w:pPr>
              <w:jc w:val="center"/>
            </w:pPr>
            <w:r>
              <w:t>US</w:t>
            </w:r>
          </w:p>
        </w:tc>
        <w:tc>
          <w:tcPr>
            <w:tcW w:w="1928" w:type="dxa"/>
          </w:tcPr>
          <w:p w14:paraId="63205FA0" w14:textId="6C1B89AD" w:rsidR="00811182" w:rsidRDefault="00B52CA3" w:rsidP="00DA2B95">
            <w:pPr>
              <w:jc w:val="center"/>
            </w:pPr>
            <w:r>
              <w:t>4.5</w:t>
            </w:r>
          </w:p>
        </w:tc>
        <w:tc>
          <w:tcPr>
            <w:tcW w:w="2477" w:type="dxa"/>
          </w:tcPr>
          <w:p w14:paraId="6C016E7D" w14:textId="4A28DD9A" w:rsidR="00811182" w:rsidRDefault="00B52CA3" w:rsidP="00DA2B95">
            <w:pPr>
              <w:jc w:val="center"/>
            </w:pPr>
            <w:r>
              <w:t>Announced</w:t>
            </w:r>
          </w:p>
        </w:tc>
      </w:tr>
      <w:tr w:rsidR="00E341B5" w14:paraId="7E789B00" w14:textId="77777777" w:rsidTr="00DA2B95">
        <w:trPr>
          <w:jc w:val="center"/>
        </w:trPr>
        <w:tc>
          <w:tcPr>
            <w:tcW w:w="2564" w:type="dxa"/>
          </w:tcPr>
          <w:p w14:paraId="41807EE4" w14:textId="6A0BFD88" w:rsidR="00E341B5" w:rsidRDefault="00E341B5" w:rsidP="00DA2B95">
            <w:pPr>
              <w:jc w:val="center"/>
            </w:pPr>
            <w:r>
              <w:t>Driftwood LNG</w:t>
            </w:r>
          </w:p>
        </w:tc>
        <w:tc>
          <w:tcPr>
            <w:tcW w:w="2381" w:type="dxa"/>
          </w:tcPr>
          <w:p w14:paraId="7990BFA6" w14:textId="5AD3AB12" w:rsidR="00E341B5" w:rsidRDefault="00E341B5" w:rsidP="00DA2B95">
            <w:pPr>
              <w:jc w:val="center"/>
            </w:pPr>
            <w:r>
              <w:t>US</w:t>
            </w:r>
          </w:p>
        </w:tc>
        <w:tc>
          <w:tcPr>
            <w:tcW w:w="1928" w:type="dxa"/>
          </w:tcPr>
          <w:p w14:paraId="411546CE" w14:textId="29185310" w:rsidR="00E341B5" w:rsidRDefault="003F7C71" w:rsidP="00DA2B95">
            <w:pPr>
              <w:jc w:val="center"/>
            </w:pPr>
            <w:r>
              <w:t>12.6</w:t>
            </w:r>
          </w:p>
        </w:tc>
        <w:tc>
          <w:tcPr>
            <w:tcW w:w="2477" w:type="dxa"/>
          </w:tcPr>
          <w:p w14:paraId="684A1E48" w14:textId="221DF71E" w:rsidR="00E341B5" w:rsidRDefault="00E341B5" w:rsidP="00DA2B95">
            <w:pPr>
              <w:jc w:val="center"/>
            </w:pPr>
            <w:r>
              <w:t>Approved</w:t>
            </w:r>
          </w:p>
        </w:tc>
      </w:tr>
      <w:tr w:rsidR="00E341B5" w14:paraId="64FBF082" w14:textId="77777777" w:rsidTr="00DA2B95">
        <w:trPr>
          <w:jc w:val="center"/>
        </w:trPr>
        <w:tc>
          <w:tcPr>
            <w:tcW w:w="2564" w:type="dxa"/>
          </w:tcPr>
          <w:p w14:paraId="4FB7A1E0" w14:textId="13FCC04B" w:rsidR="00E341B5" w:rsidRDefault="00E341B5" w:rsidP="00DA2B95">
            <w:pPr>
              <w:jc w:val="center"/>
            </w:pPr>
            <w:r>
              <w:t>Magnolia LNG</w:t>
            </w:r>
          </w:p>
        </w:tc>
        <w:tc>
          <w:tcPr>
            <w:tcW w:w="2381" w:type="dxa"/>
          </w:tcPr>
          <w:p w14:paraId="52C9E3B8" w14:textId="04C98F45" w:rsidR="00E341B5" w:rsidRDefault="00E341B5" w:rsidP="00DA2B95">
            <w:pPr>
              <w:jc w:val="center"/>
            </w:pPr>
            <w:r>
              <w:t>US</w:t>
            </w:r>
          </w:p>
        </w:tc>
        <w:tc>
          <w:tcPr>
            <w:tcW w:w="1928" w:type="dxa"/>
          </w:tcPr>
          <w:p w14:paraId="2631DF6A" w14:textId="435C614B" w:rsidR="00E341B5" w:rsidRDefault="003F7C71" w:rsidP="00DA2B95">
            <w:pPr>
              <w:jc w:val="center"/>
            </w:pPr>
            <w:r>
              <w:t>8</w:t>
            </w:r>
          </w:p>
        </w:tc>
        <w:tc>
          <w:tcPr>
            <w:tcW w:w="2477" w:type="dxa"/>
          </w:tcPr>
          <w:p w14:paraId="6254A99E" w14:textId="26AE8708" w:rsidR="00E341B5" w:rsidRDefault="00E341B5" w:rsidP="00DA2B95">
            <w:pPr>
              <w:jc w:val="center"/>
            </w:pPr>
            <w:r>
              <w:t>Approved</w:t>
            </w:r>
          </w:p>
        </w:tc>
      </w:tr>
      <w:tr w:rsidR="00E341B5" w14:paraId="0DD6A45F" w14:textId="77777777" w:rsidTr="00DA2B95">
        <w:trPr>
          <w:jc w:val="center"/>
        </w:trPr>
        <w:tc>
          <w:tcPr>
            <w:tcW w:w="2564" w:type="dxa"/>
          </w:tcPr>
          <w:p w14:paraId="0F188C8D" w14:textId="57011495" w:rsidR="00E341B5" w:rsidRDefault="00E341B5" w:rsidP="00DA2B95">
            <w:pPr>
              <w:jc w:val="center"/>
            </w:pPr>
            <w:proofErr w:type="spellStart"/>
            <w:r>
              <w:t>Delfin</w:t>
            </w:r>
            <w:proofErr w:type="spellEnd"/>
            <w:r>
              <w:t xml:space="preserve"> LNG</w:t>
            </w:r>
          </w:p>
        </w:tc>
        <w:tc>
          <w:tcPr>
            <w:tcW w:w="2381" w:type="dxa"/>
          </w:tcPr>
          <w:p w14:paraId="3BD4BB7D" w14:textId="12C67124" w:rsidR="00E341B5" w:rsidRDefault="00E341B5" w:rsidP="00DA2B95">
            <w:pPr>
              <w:jc w:val="center"/>
            </w:pPr>
            <w:r>
              <w:t>US</w:t>
            </w:r>
          </w:p>
        </w:tc>
        <w:tc>
          <w:tcPr>
            <w:tcW w:w="1928" w:type="dxa"/>
          </w:tcPr>
          <w:p w14:paraId="6B298213" w14:textId="13835DD0" w:rsidR="00E341B5" w:rsidRDefault="001B606F" w:rsidP="00DA2B95">
            <w:pPr>
              <w:jc w:val="center"/>
            </w:pPr>
            <w:r>
              <w:t>7.6</w:t>
            </w:r>
          </w:p>
        </w:tc>
        <w:tc>
          <w:tcPr>
            <w:tcW w:w="2477" w:type="dxa"/>
          </w:tcPr>
          <w:p w14:paraId="327000AC" w14:textId="471F7096" w:rsidR="00E341B5" w:rsidRDefault="00E341B5" w:rsidP="00DA2B95">
            <w:pPr>
              <w:jc w:val="center"/>
            </w:pPr>
            <w:r>
              <w:t>Approved</w:t>
            </w:r>
          </w:p>
        </w:tc>
      </w:tr>
      <w:tr w:rsidR="00AF3822" w14:paraId="1A9F23E8" w14:textId="77777777" w:rsidTr="00DA2B95">
        <w:trPr>
          <w:jc w:val="center"/>
        </w:trPr>
        <w:tc>
          <w:tcPr>
            <w:tcW w:w="2564" w:type="dxa"/>
          </w:tcPr>
          <w:p w14:paraId="514626AD" w14:textId="77777777" w:rsidR="00AF3822" w:rsidRDefault="00AF3822" w:rsidP="00DA2B95">
            <w:pPr>
              <w:jc w:val="center"/>
            </w:pPr>
            <w:r>
              <w:t>Baltic LNG</w:t>
            </w:r>
          </w:p>
        </w:tc>
        <w:tc>
          <w:tcPr>
            <w:tcW w:w="2381" w:type="dxa"/>
          </w:tcPr>
          <w:p w14:paraId="0B46A6BF" w14:textId="77777777" w:rsidR="00AF3822" w:rsidRDefault="00AF3822" w:rsidP="00DA2B95">
            <w:pPr>
              <w:jc w:val="center"/>
            </w:pPr>
            <w:r>
              <w:t>Russia</w:t>
            </w:r>
          </w:p>
        </w:tc>
        <w:tc>
          <w:tcPr>
            <w:tcW w:w="1928" w:type="dxa"/>
          </w:tcPr>
          <w:p w14:paraId="3077B671" w14:textId="77777777" w:rsidR="00AF3822" w:rsidRDefault="00AF3822" w:rsidP="00DA2B95">
            <w:pPr>
              <w:jc w:val="center"/>
            </w:pPr>
            <w:r>
              <w:t>1.3</w:t>
            </w:r>
          </w:p>
        </w:tc>
        <w:tc>
          <w:tcPr>
            <w:tcW w:w="2477" w:type="dxa"/>
          </w:tcPr>
          <w:p w14:paraId="7B9EEAB5" w14:textId="77777777" w:rsidR="00AF3822" w:rsidRDefault="00AF3822" w:rsidP="00DA2B95">
            <w:pPr>
              <w:jc w:val="center"/>
            </w:pPr>
            <w:r>
              <w:t>Pre-FEED</w:t>
            </w:r>
          </w:p>
        </w:tc>
      </w:tr>
    </w:tbl>
    <w:p w14:paraId="34E7B59D" w14:textId="77777777" w:rsidR="00186ABE" w:rsidRPr="00B64B0A" w:rsidRDefault="00186ABE" w:rsidP="00186ABE">
      <w:pPr>
        <w:pStyle w:val="Caption"/>
        <w:spacing w:after="160"/>
        <w:contextualSpacing/>
        <w:rPr>
          <w:rFonts w:ascii="Calibri Light" w:eastAsia="Calibri" w:hAnsi="Calibri Light" w:cs="Arial"/>
          <w:b/>
          <w:bCs/>
          <w:i w:val="0"/>
          <w:iCs w:val="0"/>
          <w:sz w:val="16"/>
          <w:szCs w:val="16"/>
          <w:lang w:val="en-AU" w:eastAsia="ja-JP"/>
        </w:rPr>
      </w:pPr>
      <w:r w:rsidRPr="005D128B">
        <w:rPr>
          <w:rFonts w:ascii="Calibri Light" w:eastAsia="Calibri" w:hAnsi="Calibri Light" w:cs="Arial"/>
          <w:sz w:val="16"/>
          <w:szCs w:val="16"/>
          <w:lang w:val="en-AU" w:eastAsia="ja-JP"/>
        </w:rPr>
        <w:t>Source: GECF Secretar</w:t>
      </w:r>
      <w:r>
        <w:rPr>
          <w:rFonts w:ascii="Calibri Light" w:eastAsia="Calibri" w:hAnsi="Calibri Light" w:cs="Arial"/>
          <w:sz w:val="16"/>
          <w:szCs w:val="16"/>
          <w:lang w:val="en-AU" w:eastAsia="ja-JP"/>
        </w:rPr>
        <w:t>iat based on data from GECF GGM</w:t>
      </w:r>
    </w:p>
    <w:p w14:paraId="3D958440" w14:textId="45E4B196" w:rsidR="00765F0E" w:rsidRDefault="00926B79" w:rsidP="00765F0E">
      <w:pPr>
        <w:jc w:val="lowKashida"/>
      </w:pPr>
      <w:r>
        <w:t xml:space="preserve">The total </w:t>
      </w:r>
      <w:proofErr w:type="spellStart"/>
      <w:r>
        <w:t>amout</w:t>
      </w:r>
      <w:proofErr w:type="spellEnd"/>
      <w:r>
        <w:t xml:space="preserve"> of LNG from these projects that could hit the market by 2025 </w:t>
      </w:r>
      <w:proofErr w:type="gramStart"/>
      <w:r>
        <w:t>is estimated</w:t>
      </w:r>
      <w:proofErr w:type="gramEnd"/>
      <w:r>
        <w:t xml:space="preserve"> at 300 </w:t>
      </w:r>
      <w:proofErr w:type="spellStart"/>
      <w:r>
        <w:t>mtpa</w:t>
      </w:r>
      <w:proofErr w:type="spellEnd"/>
      <w:r>
        <w:t xml:space="preserve">. It is far off any demand growth estimates </w:t>
      </w:r>
      <w:r w:rsidR="005D53F8">
        <w:t xml:space="preserve">for LNG, thus some market adjustment is inevitable. </w:t>
      </w:r>
    </w:p>
    <w:p w14:paraId="5F8769F8" w14:textId="738D0024" w:rsidR="00902FD4" w:rsidRPr="00C85A74" w:rsidRDefault="00382089" w:rsidP="00C85A74">
      <w:pPr>
        <w:pStyle w:val="Heading1"/>
        <w:spacing w:after="240"/>
        <w:jc w:val="lowKashida"/>
        <w:rPr>
          <w:rFonts w:cs="Helvetica"/>
        </w:rPr>
      </w:pPr>
      <w:bookmarkStart w:id="41" w:name="_Toc1561775"/>
      <w:bookmarkStart w:id="42" w:name="_Toc1561835"/>
      <w:bookmarkStart w:id="43" w:name="_Toc1561958"/>
      <w:bookmarkStart w:id="44" w:name="_Toc1661448"/>
      <w:r>
        <w:rPr>
          <w:rFonts w:cs="Helvetica"/>
        </w:rPr>
        <w:t xml:space="preserve">Mode of natural gas </w:t>
      </w:r>
      <w:r w:rsidR="00902FD4" w:rsidRPr="00C85A74">
        <w:rPr>
          <w:rFonts w:cs="Helvetica"/>
        </w:rPr>
        <w:t xml:space="preserve">exports </w:t>
      </w:r>
      <w:r>
        <w:rPr>
          <w:rFonts w:cs="Helvetica"/>
        </w:rPr>
        <w:t>and the new business models</w:t>
      </w:r>
      <w:bookmarkEnd w:id="41"/>
      <w:bookmarkEnd w:id="42"/>
      <w:bookmarkEnd w:id="43"/>
      <w:bookmarkEnd w:id="44"/>
    </w:p>
    <w:p w14:paraId="68F93E36" w14:textId="77777777" w:rsidR="00902FD4" w:rsidRDefault="00902FD4" w:rsidP="00902FD4">
      <w:pPr>
        <w:jc w:val="lowKashida"/>
      </w:pPr>
      <w:r>
        <w:t xml:space="preserve">Given the </w:t>
      </w:r>
      <w:proofErr w:type="spellStart"/>
      <w:r>
        <w:t>favourable</w:t>
      </w:r>
      <w:proofErr w:type="spellEnd"/>
      <w:r>
        <w:t xml:space="preserve"> logistics, the owners of conveniently situated gas reserves have plenty of reasons to enter the LNG market as compared to pipeline, despite generally higher unit costs (see Table 1). The main reasons are the LNG price premium, lack of stringent supply regulation, better seaborne reach for the long-distance (over 5000 km) markets, lower capital requirements compared to pipeline (and lower still in case of FLNG) and lack of geopolitical hurdles for shipment. </w:t>
      </w:r>
    </w:p>
    <w:p w14:paraId="3CD485C5" w14:textId="5FEF8FEC" w:rsidR="00902FD4" w:rsidRPr="00B02E4F" w:rsidRDefault="00902FD4" w:rsidP="005730C7">
      <w:pPr>
        <w:pStyle w:val="Heading4"/>
        <w:jc w:val="center"/>
      </w:pPr>
      <w:bookmarkStart w:id="45" w:name="_Toc1561776"/>
      <w:bookmarkStart w:id="46" w:name="_Toc1561959"/>
      <w:bookmarkStart w:id="47" w:name="_Toc1661449"/>
      <w:r w:rsidRPr="00B02E4F">
        <w:t xml:space="preserve">Table </w:t>
      </w:r>
      <w:r w:rsidR="008A47BC">
        <w:t>2</w:t>
      </w:r>
      <w:r w:rsidRPr="00B02E4F">
        <w:t>: Options for monetizing gas reserves</w:t>
      </w:r>
      <w:bookmarkEnd w:id="45"/>
      <w:bookmarkEnd w:id="46"/>
      <w:bookmarkEnd w:id="47"/>
    </w:p>
    <w:tbl>
      <w:tblPr>
        <w:tblStyle w:val="TableGrid"/>
        <w:tblW w:w="0" w:type="auto"/>
        <w:tblLook w:val="04A0" w:firstRow="1" w:lastRow="0" w:firstColumn="1" w:lastColumn="0" w:noHBand="0" w:noVBand="1"/>
      </w:tblPr>
      <w:tblGrid>
        <w:gridCol w:w="2337"/>
        <w:gridCol w:w="2337"/>
        <w:gridCol w:w="2338"/>
        <w:gridCol w:w="2338"/>
      </w:tblGrid>
      <w:tr w:rsidR="00902FD4" w:rsidRPr="00ED5619" w14:paraId="209A639A" w14:textId="77777777" w:rsidTr="00117671">
        <w:tc>
          <w:tcPr>
            <w:tcW w:w="2337" w:type="dxa"/>
          </w:tcPr>
          <w:p w14:paraId="401C9C7A" w14:textId="77777777" w:rsidR="00902FD4" w:rsidRPr="00ED5619" w:rsidRDefault="00902FD4" w:rsidP="00117671">
            <w:pPr>
              <w:jc w:val="lowKashida"/>
              <w:rPr>
                <w:b/>
              </w:rPr>
            </w:pPr>
          </w:p>
        </w:tc>
        <w:tc>
          <w:tcPr>
            <w:tcW w:w="2337" w:type="dxa"/>
          </w:tcPr>
          <w:p w14:paraId="24ABB9DB" w14:textId="77777777" w:rsidR="00902FD4" w:rsidRPr="00ED5619" w:rsidRDefault="00902FD4" w:rsidP="00117671">
            <w:pPr>
              <w:jc w:val="lowKashida"/>
              <w:rPr>
                <w:b/>
              </w:rPr>
            </w:pPr>
            <w:r w:rsidRPr="00ED5619">
              <w:rPr>
                <w:b/>
              </w:rPr>
              <w:t>Domestic market</w:t>
            </w:r>
          </w:p>
        </w:tc>
        <w:tc>
          <w:tcPr>
            <w:tcW w:w="2338" w:type="dxa"/>
          </w:tcPr>
          <w:p w14:paraId="6B05CF9D" w14:textId="77777777" w:rsidR="00902FD4" w:rsidRPr="00ED5619" w:rsidRDefault="00902FD4" w:rsidP="00117671">
            <w:pPr>
              <w:jc w:val="lowKashida"/>
              <w:rPr>
                <w:b/>
              </w:rPr>
            </w:pPr>
            <w:r w:rsidRPr="00ED5619">
              <w:rPr>
                <w:b/>
              </w:rPr>
              <w:t>Pipeline exports</w:t>
            </w:r>
          </w:p>
        </w:tc>
        <w:tc>
          <w:tcPr>
            <w:tcW w:w="2338" w:type="dxa"/>
          </w:tcPr>
          <w:p w14:paraId="58FA97B2" w14:textId="77777777" w:rsidR="00902FD4" w:rsidRPr="00ED5619" w:rsidRDefault="00902FD4" w:rsidP="00117671">
            <w:pPr>
              <w:jc w:val="lowKashida"/>
              <w:rPr>
                <w:b/>
              </w:rPr>
            </w:pPr>
            <w:r w:rsidRPr="00ED5619">
              <w:rPr>
                <w:b/>
              </w:rPr>
              <w:t>LNG exports</w:t>
            </w:r>
          </w:p>
        </w:tc>
      </w:tr>
      <w:tr w:rsidR="00902FD4" w14:paraId="5DC046CF" w14:textId="77777777" w:rsidTr="00117671">
        <w:tc>
          <w:tcPr>
            <w:tcW w:w="2337" w:type="dxa"/>
          </w:tcPr>
          <w:p w14:paraId="5DEBDFEA" w14:textId="77777777" w:rsidR="00902FD4" w:rsidRPr="00ED5619" w:rsidRDefault="00902FD4" w:rsidP="00117671">
            <w:pPr>
              <w:jc w:val="lowKashida"/>
              <w:rPr>
                <w:i/>
              </w:rPr>
            </w:pPr>
            <w:r w:rsidRPr="00ED5619">
              <w:rPr>
                <w:i/>
              </w:rPr>
              <w:t>Starting investment</w:t>
            </w:r>
          </w:p>
        </w:tc>
        <w:tc>
          <w:tcPr>
            <w:tcW w:w="2337" w:type="dxa"/>
          </w:tcPr>
          <w:p w14:paraId="3CF9ED19" w14:textId="77777777" w:rsidR="00902FD4" w:rsidRDefault="00902FD4" w:rsidP="00117671">
            <w:pPr>
              <w:jc w:val="lowKashida"/>
            </w:pPr>
            <w:r>
              <w:t>Depends on domestic infrastructure in place</w:t>
            </w:r>
          </w:p>
        </w:tc>
        <w:tc>
          <w:tcPr>
            <w:tcW w:w="2338" w:type="dxa"/>
          </w:tcPr>
          <w:p w14:paraId="5B09B0CC" w14:textId="77777777" w:rsidR="00902FD4" w:rsidRDefault="00902FD4" w:rsidP="00117671">
            <w:pPr>
              <w:jc w:val="lowKashida"/>
            </w:pPr>
            <w:r>
              <w:t>High</w:t>
            </w:r>
          </w:p>
        </w:tc>
        <w:tc>
          <w:tcPr>
            <w:tcW w:w="2338" w:type="dxa"/>
          </w:tcPr>
          <w:p w14:paraId="1DD05E59" w14:textId="77777777" w:rsidR="00902FD4" w:rsidRDefault="00902FD4" w:rsidP="00117671">
            <w:pPr>
              <w:jc w:val="lowKashida"/>
            </w:pPr>
            <w:r>
              <w:t>High</w:t>
            </w:r>
          </w:p>
        </w:tc>
      </w:tr>
      <w:tr w:rsidR="00902FD4" w14:paraId="2BB877EC" w14:textId="77777777" w:rsidTr="00117671">
        <w:tc>
          <w:tcPr>
            <w:tcW w:w="2337" w:type="dxa"/>
          </w:tcPr>
          <w:p w14:paraId="3469622B" w14:textId="77777777" w:rsidR="00902FD4" w:rsidRPr="00ED5619" w:rsidRDefault="00902FD4" w:rsidP="00117671">
            <w:pPr>
              <w:jc w:val="lowKashida"/>
              <w:rPr>
                <w:i/>
              </w:rPr>
            </w:pPr>
            <w:r w:rsidRPr="00ED5619">
              <w:rPr>
                <w:i/>
              </w:rPr>
              <w:t>Liquidity</w:t>
            </w:r>
          </w:p>
        </w:tc>
        <w:tc>
          <w:tcPr>
            <w:tcW w:w="2337" w:type="dxa"/>
          </w:tcPr>
          <w:p w14:paraId="49E7E5D6" w14:textId="77777777" w:rsidR="00902FD4" w:rsidRDefault="00902FD4" w:rsidP="00117671">
            <w:pPr>
              <w:jc w:val="lowKashida"/>
            </w:pPr>
            <w:r>
              <w:t>Varies</w:t>
            </w:r>
          </w:p>
        </w:tc>
        <w:tc>
          <w:tcPr>
            <w:tcW w:w="2338" w:type="dxa"/>
          </w:tcPr>
          <w:p w14:paraId="606910E4" w14:textId="77777777" w:rsidR="00902FD4" w:rsidRDefault="00902FD4" w:rsidP="00117671">
            <w:pPr>
              <w:jc w:val="lowKashida"/>
            </w:pPr>
            <w:r>
              <w:t>Zero, except Europe</w:t>
            </w:r>
          </w:p>
        </w:tc>
        <w:tc>
          <w:tcPr>
            <w:tcW w:w="2338" w:type="dxa"/>
          </w:tcPr>
          <w:p w14:paraId="39B9E5FA" w14:textId="77777777" w:rsidR="00902FD4" w:rsidRDefault="00902FD4" w:rsidP="00117671">
            <w:pPr>
              <w:jc w:val="lowKashida"/>
            </w:pPr>
            <w:r>
              <w:t>Maximum</w:t>
            </w:r>
          </w:p>
        </w:tc>
      </w:tr>
      <w:tr w:rsidR="00902FD4" w14:paraId="1C59E071" w14:textId="77777777" w:rsidTr="00117671">
        <w:tc>
          <w:tcPr>
            <w:tcW w:w="2337" w:type="dxa"/>
          </w:tcPr>
          <w:p w14:paraId="5EDD52E1" w14:textId="77777777" w:rsidR="00902FD4" w:rsidRPr="00ED5619" w:rsidRDefault="00902FD4" w:rsidP="00117671">
            <w:pPr>
              <w:jc w:val="lowKashida"/>
              <w:rPr>
                <w:i/>
              </w:rPr>
            </w:pPr>
            <w:r w:rsidRPr="00ED5619">
              <w:rPr>
                <w:i/>
              </w:rPr>
              <w:lastRenderedPageBreak/>
              <w:t>Geopolitical hurdles</w:t>
            </w:r>
          </w:p>
        </w:tc>
        <w:tc>
          <w:tcPr>
            <w:tcW w:w="2337" w:type="dxa"/>
          </w:tcPr>
          <w:p w14:paraId="6BC159C7" w14:textId="77777777" w:rsidR="00902FD4" w:rsidRDefault="00902FD4" w:rsidP="00117671">
            <w:pPr>
              <w:jc w:val="lowKashida"/>
            </w:pPr>
            <w:r>
              <w:t>Absent</w:t>
            </w:r>
          </w:p>
        </w:tc>
        <w:tc>
          <w:tcPr>
            <w:tcW w:w="2338" w:type="dxa"/>
          </w:tcPr>
          <w:p w14:paraId="739E118A" w14:textId="77777777" w:rsidR="00902FD4" w:rsidRDefault="00902FD4" w:rsidP="00117671">
            <w:pPr>
              <w:jc w:val="lowKashida"/>
            </w:pPr>
            <w:r>
              <w:t>Very likely</w:t>
            </w:r>
          </w:p>
        </w:tc>
        <w:tc>
          <w:tcPr>
            <w:tcW w:w="2338" w:type="dxa"/>
          </w:tcPr>
          <w:p w14:paraId="1213CADB" w14:textId="77777777" w:rsidR="00902FD4" w:rsidRDefault="00902FD4" w:rsidP="00117671">
            <w:pPr>
              <w:jc w:val="lowKashida"/>
            </w:pPr>
            <w:r>
              <w:t>Unlikely</w:t>
            </w:r>
          </w:p>
        </w:tc>
      </w:tr>
      <w:tr w:rsidR="00902FD4" w14:paraId="10387493" w14:textId="77777777" w:rsidTr="00117671">
        <w:tc>
          <w:tcPr>
            <w:tcW w:w="2337" w:type="dxa"/>
          </w:tcPr>
          <w:p w14:paraId="3F042153" w14:textId="77777777" w:rsidR="00902FD4" w:rsidRPr="00ED5619" w:rsidRDefault="00902FD4" w:rsidP="00117671">
            <w:pPr>
              <w:jc w:val="lowKashida"/>
              <w:rPr>
                <w:i/>
              </w:rPr>
            </w:pPr>
            <w:r w:rsidRPr="00ED5619">
              <w:rPr>
                <w:i/>
              </w:rPr>
              <w:t>Margin</w:t>
            </w:r>
          </w:p>
        </w:tc>
        <w:tc>
          <w:tcPr>
            <w:tcW w:w="2337" w:type="dxa"/>
          </w:tcPr>
          <w:p w14:paraId="1C7F3190" w14:textId="77777777" w:rsidR="00902FD4" w:rsidRDefault="00902FD4" w:rsidP="00117671">
            <w:pPr>
              <w:jc w:val="lowKashida"/>
            </w:pPr>
            <w:r>
              <w:t>Low and regulated</w:t>
            </w:r>
          </w:p>
        </w:tc>
        <w:tc>
          <w:tcPr>
            <w:tcW w:w="2338" w:type="dxa"/>
          </w:tcPr>
          <w:p w14:paraId="569D34EE" w14:textId="77777777" w:rsidR="00902FD4" w:rsidRDefault="00902FD4" w:rsidP="00117671">
            <w:pPr>
              <w:jc w:val="lowKashida"/>
            </w:pPr>
            <w:r>
              <w:t>Market price, premium to domestic market</w:t>
            </w:r>
          </w:p>
        </w:tc>
        <w:tc>
          <w:tcPr>
            <w:tcW w:w="2338" w:type="dxa"/>
          </w:tcPr>
          <w:p w14:paraId="68048392" w14:textId="77777777" w:rsidR="00902FD4" w:rsidRDefault="00902FD4" w:rsidP="00117671">
            <w:pPr>
              <w:jc w:val="lowKashida"/>
            </w:pPr>
            <w:r>
              <w:t>Market price, premium to domestic market</w:t>
            </w:r>
          </w:p>
        </w:tc>
      </w:tr>
    </w:tbl>
    <w:p w14:paraId="6F96D9B0" w14:textId="1ABE1E35" w:rsidR="006C5FBC" w:rsidRPr="00B64B0A" w:rsidRDefault="006C5FBC" w:rsidP="006C5FBC">
      <w:pPr>
        <w:pStyle w:val="Caption"/>
        <w:spacing w:after="160"/>
        <w:contextualSpacing/>
        <w:rPr>
          <w:rFonts w:ascii="Calibri Light" w:eastAsia="Calibri" w:hAnsi="Calibri Light" w:cs="Arial"/>
          <w:b/>
          <w:bCs/>
          <w:i w:val="0"/>
          <w:iCs w:val="0"/>
          <w:sz w:val="16"/>
          <w:szCs w:val="16"/>
          <w:lang w:val="en-AU" w:eastAsia="ja-JP"/>
        </w:rPr>
      </w:pPr>
      <w:r w:rsidRPr="005D128B">
        <w:rPr>
          <w:rFonts w:ascii="Calibri Light" w:eastAsia="Calibri" w:hAnsi="Calibri Light" w:cs="Arial"/>
          <w:sz w:val="16"/>
          <w:szCs w:val="16"/>
          <w:lang w:val="en-AU" w:eastAsia="ja-JP"/>
        </w:rPr>
        <w:t xml:space="preserve">Source: </w:t>
      </w:r>
      <w:r>
        <w:rPr>
          <w:rFonts w:ascii="Calibri Light" w:eastAsia="Calibri" w:hAnsi="Calibri Light" w:cs="Arial"/>
          <w:sz w:val="16"/>
          <w:szCs w:val="16"/>
          <w:lang w:val="en-AU" w:eastAsia="ja-JP"/>
        </w:rPr>
        <w:t>Author’s analysis</w:t>
      </w:r>
    </w:p>
    <w:p w14:paraId="056F6959" w14:textId="00848388" w:rsidR="003F76EE" w:rsidRDefault="00854FEA" w:rsidP="003F76EE">
      <w:pPr>
        <w:jc w:val="lowKashida"/>
      </w:pPr>
      <w:r>
        <w:t>As per industry practice</w:t>
      </w:r>
      <w:r w:rsidR="00B50948">
        <w:t xml:space="preserve">, the lenders required the project company to accumulate offtake commitments before providing the financing to the </w:t>
      </w:r>
      <w:r w:rsidR="005730C7">
        <w:t xml:space="preserve">LNG facility. </w:t>
      </w:r>
      <w:r w:rsidR="00E57CCB">
        <w:t>The situation began to change in t</w:t>
      </w:r>
      <w:r w:rsidR="003F76EE">
        <w:t>he</w:t>
      </w:r>
      <w:r w:rsidR="00B50948">
        <w:t xml:space="preserve"> recent </w:t>
      </w:r>
      <w:proofErr w:type="gramStart"/>
      <w:r w:rsidR="00B50948">
        <w:t>years</w:t>
      </w:r>
      <w:proofErr w:type="gramEnd"/>
      <w:r w:rsidR="00B50948">
        <w:t xml:space="preserve"> </w:t>
      </w:r>
      <w:r w:rsidR="00E57CCB">
        <w:t>as there emerge</w:t>
      </w:r>
      <w:r w:rsidR="003F76EE">
        <w:t xml:space="preserve"> </w:t>
      </w:r>
      <w:r w:rsidR="005730C7">
        <w:t xml:space="preserve">two new approaches to the financing: </w:t>
      </w:r>
    </w:p>
    <w:p w14:paraId="5C99FDBE" w14:textId="51FB94FF" w:rsidR="005730C7" w:rsidRDefault="005730C7" w:rsidP="005730C7">
      <w:pPr>
        <w:pStyle w:val="ListParagraph"/>
        <w:numPr>
          <w:ilvl w:val="0"/>
          <w:numId w:val="19"/>
        </w:numPr>
        <w:jc w:val="lowKashida"/>
      </w:pPr>
      <w:proofErr w:type="spellStart"/>
      <w:r>
        <w:t>Offtakers</w:t>
      </w:r>
      <w:proofErr w:type="spellEnd"/>
      <w:r>
        <w:t xml:space="preserve"> provide equity financing for the project, as in cases of LNG Canada (FID) and Rovuma LNG (pre-FID), or project </w:t>
      </w:r>
      <w:r w:rsidR="00740AA7">
        <w:t>goes for</w:t>
      </w:r>
      <w:r>
        <w:t xml:space="preserve"> the </w:t>
      </w:r>
      <w:r w:rsidR="00740AA7">
        <w:t xml:space="preserve">equity participation </w:t>
      </w:r>
      <w:r>
        <w:t>(some North American LNG facilities</w:t>
      </w:r>
      <w:r w:rsidR="006309F4">
        <w:t xml:space="preserve"> such as Driftwood LNG</w:t>
      </w:r>
      <w:r>
        <w:t>)</w:t>
      </w:r>
      <w:r w:rsidR="006309F4">
        <w:t xml:space="preserve"> and intends to market undedicated volumes afterwards</w:t>
      </w:r>
      <w:r w:rsidR="002F434C">
        <w:t>. Those are not widespread, but there is ongoing experience accumulation and practices building.</w:t>
      </w:r>
    </w:p>
    <w:p w14:paraId="4956FF12" w14:textId="1D181958" w:rsidR="005730C7" w:rsidRDefault="00A55FDA" w:rsidP="005730C7">
      <w:pPr>
        <w:pStyle w:val="ListParagraph"/>
        <w:numPr>
          <w:ilvl w:val="0"/>
          <w:numId w:val="19"/>
        </w:numPr>
        <w:jc w:val="lowKashida"/>
      </w:pPr>
      <w:r>
        <w:t xml:space="preserve">The different pricing model </w:t>
      </w:r>
      <w:proofErr w:type="gramStart"/>
      <w:r>
        <w:t>is used</w:t>
      </w:r>
      <w:proofErr w:type="gramEnd"/>
      <w:r>
        <w:t xml:space="preserve"> as the LNG and feed gas providers are not integrated</w:t>
      </w:r>
      <w:r w:rsidR="002F434C">
        <w:t>. M</w:t>
      </w:r>
      <w:r>
        <w:t xml:space="preserve">ost North American projects take </w:t>
      </w:r>
      <w:r w:rsidR="00C53B4A">
        <w:t xml:space="preserve">a fixed liquefaction fee </w:t>
      </w:r>
      <w:r>
        <w:t xml:space="preserve">from the </w:t>
      </w:r>
      <w:r w:rsidR="00C53B4A">
        <w:t xml:space="preserve">exporters, </w:t>
      </w:r>
      <w:r w:rsidR="00262169">
        <w:t>under long-term arrangements</w:t>
      </w:r>
      <w:r w:rsidR="00C53B4A">
        <w:t xml:space="preserve"> of liquefy-or-pay</w:t>
      </w:r>
      <w:r>
        <w:t>.</w:t>
      </w:r>
    </w:p>
    <w:p w14:paraId="4090F97E" w14:textId="468C5413" w:rsidR="00385F3B" w:rsidRDefault="00385F3B" w:rsidP="005730C7">
      <w:pPr>
        <w:pStyle w:val="ListParagraph"/>
        <w:numPr>
          <w:ilvl w:val="0"/>
          <w:numId w:val="19"/>
        </w:numPr>
        <w:jc w:val="lowKashida"/>
      </w:pPr>
      <w:proofErr w:type="spellStart"/>
      <w:r>
        <w:t>Offtakers</w:t>
      </w:r>
      <w:proofErr w:type="spellEnd"/>
      <w:r>
        <w:t xml:space="preserve"> are portfolio players that sign up for the undedicated volume intending to market it as part of their global portfolio.</w:t>
      </w:r>
    </w:p>
    <w:p w14:paraId="2B00B953" w14:textId="04ED2182" w:rsidR="00A20136" w:rsidRPr="003F76EE" w:rsidRDefault="00A20136" w:rsidP="00A20136">
      <w:pPr>
        <w:jc w:val="lowKashida"/>
      </w:pPr>
      <w:r>
        <w:t xml:space="preserve">With the </w:t>
      </w:r>
      <w:r w:rsidR="00E27F4D">
        <w:t xml:space="preserve">LNF projects that utilize </w:t>
      </w:r>
      <w:r>
        <w:t xml:space="preserve">new business models, the risks </w:t>
      </w:r>
      <w:proofErr w:type="gramStart"/>
      <w:r>
        <w:t>are divided</w:t>
      </w:r>
      <w:proofErr w:type="gramEnd"/>
      <w:r>
        <w:t xml:space="preserve"> between gas reserve holders, LNG services providers and the consumers so that some projects are not mothballed even as cash inflows barely cover cash costs.</w:t>
      </w:r>
      <w:r w:rsidR="006309F4">
        <w:t xml:space="preserve"> T</w:t>
      </w:r>
      <w:r w:rsidR="00E27F4D">
        <w:t xml:space="preserve">his innovation is a </w:t>
      </w:r>
      <w:r w:rsidR="000C0C04">
        <w:t xml:space="preserve">part of new oversupply scenario, as business model might lead to market clearing with such projects being ready for significantly lower prices </w:t>
      </w:r>
      <w:r w:rsidR="00613D38">
        <w:t xml:space="preserve">for longer </w:t>
      </w:r>
      <w:r w:rsidR="000C0C04">
        <w:t>before mothballing the projects.</w:t>
      </w:r>
    </w:p>
    <w:p w14:paraId="1CE05394" w14:textId="2BB4FB1E" w:rsidR="00DB3A59" w:rsidRPr="00FE781F" w:rsidRDefault="00DB3A59" w:rsidP="00FE781F">
      <w:pPr>
        <w:pStyle w:val="Heading1"/>
        <w:spacing w:after="240"/>
        <w:jc w:val="lowKashida"/>
        <w:rPr>
          <w:rFonts w:cs="Helvetica"/>
        </w:rPr>
      </w:pPr>
      <w:bookmarkStart w:id="48" w:name="_Toc1561777"/>
      <w:bookmarkStart w:id="49" w:name="_Toc1561836"/>
      <w:bookmarkStart w:id="50" w:name="_Toc1561960"/>
      <w:bookmarkStart w:id="51" w:name="_Toc1661450"/>
      <w:r w:rsidRPr="00FE781F">
        <w:rPr>
          <w:rFonts w:cs="Helvetica"/>
        </w:rPr>
        <w:t xml:space="preserve">Gas </w:t>
      </w:r>
      <w:r w:rsidR="00765F0E" w:rsidRPr="00FE781F">
        <w:rPr>
          <w:rFonts w:cs="Helvetica"/>
        </w:rPr>
        <w:t>market</w:t>
      </w:r>
      <w:r w:rsidRPr="00FE781F">
        <w:rPr>
          <w:rFonts w:cs="Helvetica"/>
        </w:rPr>
        <w:t xml:space="preserve"> forecast benchmarking for 2019-2040</w:t>
      </w:r>
      <w:bookmarkEnd w:id="48"/>
      <w:bookmarkEnd w:id="49"/>
      <w:bookmarkEnd w:id="50"/>
      <w:bookmarkEnd w:id="51"/>
    </w:p>
    <w:p w14:paraId="570EB6DA" w14:textId="77777777" w:rsidR="00B02E4F" w:rsidRDefault="00B02E4F" w:rsidP="00B02E4F">
      <w:pPr>
        <w:jc w:val="both"/>
        <w:rPr>
          <w:rFonts w:cs="Helvetica"/>
        </w:rPr>
      </w:pPr>
      <w:r w:rsidRPr="00B02E4F">
        <w:rPr>
          <w:rFonts w:cs="Helvetica"/>
          <w:b/>
        </w:rPr>
        <w:t>GECF GGO 2018</w:t>
      </w:r>
      <w:r w:rsidRPr="005830B7">
        <w:rPr>
          <w:rFonts w:cs="Helvetica"/>
        </w:rPr>
        <w:t xml:space="preserve"> </w:t>
      </w:r>
      <w:r>
        <w:rPr>
          <w:rFonts w:cs="Helvetica"/>
        </w:rPr>
        <w:t xml:space="preserve">in the </w:t>
      </w:r>
      <w:r w:rsidRPr="005830B7">
        <w:rPr>
          <w:rFonts w:cs="Helvetica"/>
        </w:rPr>
        <w:t xml:space="preserve">Reference </w:t>
      </w:r>
      <w:r>
        <w:rPr>
          <w:rFonts w:cs="Helvetica"/>
        </w:rPr>
        <w:t xml:space="preserve">case projects that natural gas trade will add 100 </w:t>
      </w:r>
      <w:proofErr w:type="spellStart"/>
      <w:r>
        <w:rPr>
          <w:rFonts w:cs="Helvetica"/>
        </w:rPr>
        <w:t>bcm</w:t>
      </w:r>
      <w:proofErr w:type="spellEnd"/>
      <w:r>
        <w:rPr>
          <w:rFonts w:cs="Helvetica"/>
        </w:rPr>
        <w:t xml:space="preserve"> by 2025 and another 350 </w:t>
      </w:r>
      <w:proofErr w:type="spellStart"/>
      <w:r>
        <w:rPr>
          <w:rFonts w:cs="Helvetica"/>
        </w:rPr>
        <w:t>bcm</w:t>
      </w:r>
      <w:proofErr w:type="spellEnd"/>
      <w:r>
        <w:rPr>
          <w:rFonts w:cs="Helvetica"/>
        </w:rPr>
        <w:t xml:space="preserve"> by 2040, with LNG trade seen adding 110 </w:t>
      </w:r>
      <w:proofErr w:type="spellStart"/>
      <w:r>
        <w:rPr>
          <w:rFonts w:cs="Helvetica"/>
        </w:rPr>
        <w:t>mtpa</w:t>
      </w:r>
      <w:proofErr w:type="spellEnd"/>
      <w:r>
        <w:rPr>
          <w:rFonts w:cs="Helvetica"/>
        </w:rPr>
        <w:t xml:space="preserve"> (</w:t>
      </w:r>
      <w:r w:rsidRPr="00753216">
        <w:rPr>
          <w:rFonts w:cs="Helvetica"/>
        </w:rPr>
        <w:t xml:space="preserve">150 </w:t>
      </w:r>
      <w:proofErr w:type="spellStart"/>
      <w:r>
        <w:rPr>
          <w:rFonts w:cs="Helvetica"/>
        </w:rPr>
        <w:t>bcm</w:t>
      </w:r>
      <w:proofErr w:type="spellEnd"/>
      <w:r>
        <w:rPr>
          <w:rFonts w:cs="Helvetica"/>
        </w:rPr>
        <w:t xml:space="preserve">) by 2025 and another 130 </w:t>
      </w:r>
      <w:proofErr w:type="spellStart"/>
      <w:r>
        <w:rPr>
          <w:rFonts w:cs="Helvetica"/>
        </w:rPr>
        <w:t>mtpa</w:t>
      </w:r>
      <w:proofErr w:type="spellEnd"/>
      <w:r>
        <w:rPr>
          <w:rFonts w:cs="Helvetica"/>
        </w:rPr>
        <w:t xml:space="preserve"> (180 </w:t>
      </w:r>
      <w:proofErr w:type="spellStart"/>
      <w:r>
        <w:rPr>
          <w:rFonts w:cs="Helvetica"/>
        </w:rPr>
        <w:t>bcm</w:t>
      </w:r>
      <w:proofErr w:type="spellEnd"/>
      <w:r>
        <w:rPr>
          <w:rFonts w:cs="Helvetica"/>
        </w:rPr>
        <w:t xml:space="preserve">) by 2040. This LNG growth is underpinned by strong pipeline trade growth, </w:t>
      </w:r>
      <w:proofErr w:type="gramStart"/>
      <w:r>
        <w:rPr>
          <w:rFonts w:cs="Helvetica"/>
        </w:rPr>
        <w:t>and also</w:t>
      </w:r>
      <w:proofErr w:type="gramEnd"/>
      <w:r>
        <w:rPr>
          <w:rFonts w:cs="Helvetica"/>
        </w:rPr>
        <w:t xml:space="preserve"> by strong national priorities for gas reserve holders to develop those reserves. </w:t>
      </w:r>
    </w:p>
    <w:p w14:paraId="6A899BEA" w14:textId="27E4F90A" w:rsidR="00B02E4F" w:rsidRPr="00B02E4F" w:rsidRDefault="00B02E4F" w:rsidP="005730C7">
      <w:pPr>
        <w:pStyle w:val="Heading4"/>
        <w:jc w:val="center"/>
      </w:pPr>
      <w:bookmarkStart w:id="52" w:name="_Toc1561778"/>
      <w:bookmarkStart w:id="53" w:name="_Toc1561961"/>
      <w:bookmarkStart w:id="54" w:name="_Toc1661451"/>
      <w:r w:rsidRPr="00B02E4F">
        <w:t>Table</w:t>
      </w:r>
      <w:r w:rsidR="00513459">
        <w:t xml:space="preserve"> </w:t>
      </w:r>
      <w:r w:rsidR="008A47BC">
        <w:t>3:</w:t>
      </w:r>
      <w:r w:rsidRPr="00B02E4F">
        <w:t xml:space="preserve"> GECF’s GGO Ref. Case gas trade projection (</w:t>
      </w:r>
      <w:proofErr w:type="spellStart"/>
      <w:r w:rsidRPr="00B02E4F">
        <w:t>bcm</w:t>
      </w:r>
      <w:proofErr w:type="spellEnd"/>
      <w:r w:rsidRPr="00B02E4F">
        <w:t>)</w:t>
      </w:r>
      <w:bookmarkEnd w:id="52"/>
      <w:bookmarkEnd w:id="53"/>
      <w:bookmarkEnd w:id="54"/>
    </w:p>
    <w:tbl>
      <w:tblPr>
        <w:tblW w:w="5093" w:type="dxa"/>
        <w:jc w:val="center"/>
        <w:tblLook w:val="04A0" w:firstRow="1" w:lastRow="0" w:firstColumn="1" w:lastColumn="0" w:noHBand="0" w:noVBand="1"/>
      </w:tblPr>
      <w:tblGrid>
        <w:gridCol w:w="2430"/>
        <w:gridCol w:w="663"/>
        <w:gridCol w:w="1000"/>
        <w:gridCol w:w="1000"/>
      </w:tblGrid>
      <w:tr w:rsidR="00B02E4F" w:rsidRPr="004D6FF3" w14:paraId="4DB08C18" w14:textId="77777777" w:rsidTr="006E2833">
        <w:trPr>
          <w:trHeight w:val="300"/>
          <w:jc w:val="center"/>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F4E3A" w14:textId="77777777" w:rsidR="00B02E4F" w:rsidRPr="004D6FF3" w:rsidRDefault="00B02E4F" w:rsidP="00117671">
            <w:pPr>
              <w:spacing w:after="0" w:line="240" w:lineRule="auto"/>
              <w:jc w:val="center"/>
              <w:rPr>
                <w:rFonts w:ascii="Calibri" w:eastAsia="Times New Roman" w:hAnsi="Calibri" w:cs="Times New Roman"/>
                <w:b/>
                <w:color w:val="000000"/>
              </w:rPr>
            </w:pP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14:paraId="7DD8E853" w14:textId="77777777" w:rsidR="00B02E4F" w:rsidRPr="004D6FF3" w:rsidRDefault="00B02E4F" w:rsidP="00117671">
            <w:pPr>
              <w:spacing w:after="0" w:line="240" w:lineRule="auto"/>
              <w:jc w:val="center"/>
              <w:rPr>
                <w:rFonts w:ascii="Calibri" w:eastAsia="Times New Roman" w:hAnsi="Calibri" w:cs="Times New Roman"/>
                <w:b/>
                <w:color w:val="000000"/>
              </w:rPr>
            </w:pPr>
            <w:r w:rsidRPr="004D6FF3">
              <w:rPr>
                <w:rFonts w:ascii="Calibri" w:eastAsia="Times New Roman" w:hAnsi="Calibri" w:cs="Times New Roman"/>
                <w:b/>
                <w:color w:val="000000"/>
              </w:rPr>
              <w:t>2017</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0555AF84" w14:textId="77777777" w:rsidR="00B02E4F" w:rsidRPr="004D6FF3" w:rsidRDefault="00B02E4F" w:rsidP="00117671">
            <w:pPr>
              <w:spacing w:after="0" w:line="240" w:lineRule="auto"/>
              <w:jc w:val="center"/>
              <w:rPr>
                <w:rFonts w:ascii="Calibri" w:eastAsia="Times New Roman" w:hAnsi="Calibri" w:cs="Times New Roman"/>
                <w:b/>
                <w:color w:val="000000"/>
              </w:rPr>
            </w:pPr>
            <w:r w:rsidRPr="004D6FF3">
              <w:rPr>
                <w:rFonts w:ascii="Calibri" w:eastAsia="Times New Roman" w:hAnsi="Calibri" w:cs="Times New Roman"/>
                <w:b/>
                <w:color w:val="000000"/>
              </w:rPr>
              <w:t>2025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33B1C11" w14:textId="77777777" w:rsidR="00B02E4F" w:rsidRPr="004D6FF3" w:rsidRDefault="00B02E4F" w:rsidP="00117671">
            <w:pPr>
              <w:spacing w:after="0" w:line="240" w:lineRule="auto"/>
              <w:jc w:val="center"/>
              <w:rPr>
                <w:rFonts w:ascii="Calibri" w:eastAsia="Times New Roman" w:hAnsi="Calibri" w:cs="Times New Roman"/>
                <w:b/>
                <w:color w:val="000000"/>
              </w:rPr>
            </w:pPr>
            <w:r w:rsidRPr="004D6FF3">
              <w:rPr>
                <w:rFonts w:ascii="Calibri" w:eastAsia="Times New Roman" w:hAnsi="Calibri" w:cs="Times New Roman"/>
                <w:b/>
                <w:color w:val="000000"/>
              </w:rPr>
              <w:t>2040</w:t>
            </w:r>
          </w:p>
        </w:tc>
      </w:tr>
      <w:tr w:rsidR="00B02E4F" w:rsidRPr="004D6FF3" w14:paraId="60376D19" w14:textId="77777777" w:rsidTr="006E2833">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08FB5F58"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Calibri-Bold"/>
                <w:color w:val="000000"/>
              </w:rPr>
              <w:t>World natural gas production</w:t>
            </w:r>
          </w:p>
        </w:tc>
        <w:tc>
          <w:tcPr>
            <w:tcW w:w="663" w:type="dxa"/>
            <w:tcBorders>
              <w:top w:val="nil"/>
              <w:left w:val="nil"/>
              <w:bottom w:val="single" w:sz="4" w:space="0" w:color="auto"/>
              <w:right w:val="single" w:sz="4" w:space="0" w:color="auto"/>
            </w:tcBorders>
            <w:shd w:val="clear" w:color="auto" w:fill="auto"/>
            <w:noWrap/>
            <w:vAlign w:val="center"/>
            <w:hideMark/>
          </w:tcPr>
          <w:p w14:paraId="2E8578A7"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Times New Roman"/>
                <w:color w:val="000000"/>
              </w:rPr>
              <w:t>3696</w:t>
            </w:r>
          </w:p>
        </w:tc>
        <w:tc>
          <w:tcPr>
            <w:tcW w:w="1000" w:type="dxa"/>
            <w:tcBorders>
              <w:top w:val="nil"/>
              <w:left w:val="nil"/>
              <w:bottom w:val="single" w:sz="4" w:space="0" w:color="auto"/>
              <w:right w:val="single" w:sz="4" w:space="0" w:color="auto"/>
            </w:tcBorders>
            <w:shd w:val="clear" w:color="auto" w:fill="auto"/>
            <w:noWrap/>
            <w:vAlign w:val="center"/>
            <w:hideMark/>
          </w:tcPr>
          <w:p w14:paraId="517275A9"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Times New Roman"/>
                <w:color w:val="000000"/>
              </w:rPr>
              <w:t>4317</w:t>
            </w:r>
          </w:p>
        </w:tc>
        <w:tc>
          <w:tcPr>
            <w:tcW w:w="1000" w:type="dxa"/>
            <w:tcBorders>
              <w:top w:val="nil"/>
              <w:left w:val="nil"/>
              <w:bottom w:val="single" w:sz="4" w:space="0" w:color="auto"/>
              <w:right w:val="single" w:sz="4" w:space="0" w:color="auto"/>
            </w:tcBorders>
            <w:shd w:val="clear" w:color="auto" w:fill="auto"/>
            <w:noWrap/>
            <w:vAlign w:val="center"/>
            <w:hideMark/>
          </w:tcPr>
          <w:p w14:paraId="2F18A9D0"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Times New Roman"/>
                <w:color w:val="000000"/>
              </w:rPr>
              <w:t>5417</w:t>
            </w:r>
          </w:p>
        </w:tc>
      </w:tr>
      <w:tr w:rsidR="00B02E4F" w:rsidRPr="004D6FF3" w14:paraId="4A3082FE" w14:textId="77777777" w:rsidTr="006E2833">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49613E6F"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Calibri-Bold"/>
                <w:color w:val="000000"/>
              </w:rPr>
              <w:t>World natural gas trade</w:t>
            </w:r>
          </w:p>
        </w:tc>
        <w:tc>
          <w:tcPr>
            <w:tcW w:w="663" w:type="dxa"/>
            <w:tcBorders>
              <w:top w:val="nil"/>
              <w:left w:val="nil"/>
              <w:bottom w:val="single" w:sz="4" w:space="0" w:color="auto"/>
              <w:right w:val="single" w:sz="4" w:space="0" w:color="auto"/>
            </w:tcBorders>
            <w:shd w:val="clear" w:color="auto" w:fill="auto"/>
            <w:noWrap/>
            <w:vAlign w:val="center"/>
            <w:hideMark/>
          </w:tcPr>
          <w:p w14:paraId="32A506CF"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Times New Roman"/>
                <w:color w:val="000000"/>
              </w:rPr>
              <w:t>1166</w:t>
            </w:r>
          </w:p>
        </w:tc>
        <w:tc>
          <w:tcPr>
            <w:tcW w:w="1000" w:type="dxa"/>
            <w:tcBorders>
              <w:top w:val="nil"/>
              <w:left w:val="nil"/>
              <w:bottom w:val="single" w:sz="4" w:space="0" w:color="auto"/>
              <w:right w:val="single" w:sz="4" w:space="0" w:color="auto"/>
            </w:tcBorders>
            <w:shd w:val="clear" w:color="auto" w:fill="auto"/>
            <w:noWrap/>
            <w:vAlign w:val="center"/>
            <w:hideMark/>
          </w:tcPr>
          <w:p w14:paraId="00030EEA"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Times New Roman"/>
                <w:color w:val="000000"/>
              </w:rPr>
              <w:t>1265</w:t>
            </w:r>
          </w:p>
        </w:tc>
        <w:tc>
          <w:tcPr>
            <w:tcW w:w="1000" w:type="dxa"/>
            <w:tcBorders>
              <w:top w:val="nil"/>
              <w:left w:val="nil"/>
              <w:bottom w:val="single" w:sz="4" w:space="0" w:color="auto"/>
              <w:right w:val="single" w:sz="4" w:space="0" w:color="auto"/>
            </w:tcBorders>
            <w:shd w:val="clear" w:color="auto" w:fill="auto"/>
            <w:noWrap/>
            <w:vAlign w:val="center"/>
            <w:hideMark/>
          </w:tcPr>
          <w:p w14:paraId="105FE713"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Times New Roman"/>
                <w:color w:val="000000"/>
              </w:rPr>
              <w:t>1616</w:t>
            </w:r>
          </w:p>
        </w:tc>
      </w:tr>
      <w:tr w:rsidR="00B02E4F" w:rsidRPr="004D6FF3" w14:paraId="440347C8" w14:textId="77777777" w:rsidTr="006E2833">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421E2FB0"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Times New Roman"/>
                <w:color w:val="000000"/>
              </w:rPr>
              <w:t>Share of trade %</w:t>
            </w:r>
          </w:p>
        </w:tc>
        <w:tc>
          <w:tcPr>
            <w:tcW w:w="663" w:type="dxa"/>
            <w:tcBorders>
              <w:top w:val="nil"/>
              <w:left w:val="nil"/>
              <w:bottom w:val="single" w:sz="4" w:space="0" w:color="auto"/>
              <w:right w:val="single" w:sz="4" w:space="0" w:color="auto"/>
            </w:tcBorders>
            <w:shd w:val="clear" w:color="auto" w:fill="auto"/>
            <w:noWrap/>
            <w:vAlign w:val="center"/>
            <w:hideMark/>
          </w:tcPr>
          <w:p w14:paraId="1B185A31"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Times New Roman"/>
                <w:color w:val="000000"/>
              </w:rPr>
              <w:t>32</w:t>
            </w:r>
          </w:p>
        </w:tc>
        <w:tc>
          <w:tcPr>
            <w:tcW w:w="1000" w:type="dxa"/>
            <w:tcBorders>
              <w:top w:val="nil"/>
              <w:left w:val="nil"/>
              <w:bottom w:val="single" w:sz="4" w:space="0" w:color="auto"/>
              <w:right w:val="single" w:sz="4" w:space="0" w:color="auto"/>
            </w:tcBorders>
            <w:shd w:val="clear" w:color="auto" w:fill="auto"/>
            <w:noWrap/>
            <w:vAlign w:val="center"/>
            <w:hideMark/>
          </w:tcPr>
          <w:p w14:paraId="1048C8D2"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Times New Roman"/>
                <w:color w:val="000000"/>
              </w:rPr>
              <w:t>29</w:t>
            </w:r>
          </w:p>
        </w:tc>
        <w:tc>
          <w:tcPr>
            <w:tcW w:w="1000" w:type="dxa"/>
            <w:tcBorders>
              <w:top w:val="nil"/>
              <w:left w:val="nil"/>
              <w:bottom w:val="single" w:sz="4" w:space="0" w:color="auto"/>
              <w:right w:val="single" w:sz="4" w:space="0" w:color="auto"/>
            </w:tcBorders>
            <w:shd w:val="clear" w:color="auto" w:fill="auto"/>
            <w:noWrap/>
            <w:vAlign w:val="center"/>
            <w:hideMark/>
          </w:tcPr>
          <w:p w14:paraId="534CCA8C"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Times New Roman"/>
                <w:color w:val="000000"/>
              </w:rPr>
              <w:t>30</w:t>
            </w:r>
          </w:p>
        </w:tc>
      </w:tr>
      <w:tr w:rsidR="00B02E4F" w:rsidRPr="004D6FF3" w14:paraId="4C3EA363" w14:textId="77777777" w:rsidTr="006E2833">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4CE5A536"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Times New Roman"/>
                <w:color w:val="000000"/>
              </w:rPr>
              <w:t>Pipeline</w:t>
            </w:r>
          </w:p>
        </w:tc>
        <w:tc>
          <w:tcPr>
            <w:tcW w:w="663" w:type="dxa"/>
            <w:tcBorders>
              <w:top w:val="nil"/>
              <w:left w:val="nil"/>
              <w:bottom w:val="single" w:sz="4" w:space="0" w:color="auto"/>
              <w:right w:val="single" w:sz="4" w:space="0" w:color="auto"/>
            </w:tcBorders>
            <w:shd w:val="clear" w:color="auto" w:fill="auto"/>
            <w:noWrap/>
            <w:vAlign w:val="center"/>
            <w:hideMark/>
          </w:tcPr>
          <w:p w14:paraId="20FFF57D"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Times New Roman"/>
                <w:color w:val="000000"/>
              </w:rPr>
              <w:t>706</w:t>
            </w:r>
          </w:p>
        </w:tc>
        <w:tc>
          <w:tcPr>
            <w:tcW w:w="1000" w:type="dxa"/>
            <w:tcBorders>
              <w:top w:val="nil"/>
              <w:left w:val="nil"/>
              <w:bottom w:val="single" w:sz="4" w:space="0" w:color="auto"/>
              <w:right w:val="single" w:sz="4" w:space="0" w:color="auto"/>
            </w:tcBorders>
            <w:shd w:val="clear" w:color="auto" w:fill="auto"/>
            <w:noWrap/>
            <w:vAlign w:val="center"/>
            <w:hideMark/>
          </w:tcPr>
          <w:p w14:paraId="16799354"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Times New Roman"/>
                <w:color w:val="000000"/>
              </w:rPr>
              <w:t>717</w:t>
            </w:r>
          </w:p>
        </w:tc>
        <w:tc>
          <w:tcPr>
            <w:tcW w:w="1000" w:type="dxa"/>
            <w:tcBorders>
              <w:top w:val="nil"/>
              <w:left w:val="nil"/>
              <w:bottom w:val="single" w:sz="4" w:space="0" w:color="auto"/>
              <w:right w:val="single" w:sz="4" w:space="0" w:color="auto"/>
            </w:tcBorders>
            <w:shd w:val="clear" w:color="auto" w:fill="auto"/>
            <w:noWrap/>
            <w:vAlign w:val="center"/>
            <w:hideMark/>
          </w:tcPr>
          <w:p w14:paraId="5115CBF7"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Times New Roman"/>
                <w:color w:val="000000"/>
              </w:rPr>
              <w:t>876</w:t>
            </w:r>
          </w:p>
        </w:tc>
      </w:tr>
      <w:tr w:rsidR="00B02E4F" w:rsidRPr="004D6FF3" w14:paraId="27E3E8A8" w14:textId="77777777" w:rsidTr="006E2833">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1A0EF2F2"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Times New Roman"/>
                <w:color w:val="000000"/>
              </w:rPr>
              <w:t>LNG</w:t>
            </w:r>
          </w:p>
        </w:tc>
        <w:tc>
          <w:tcPr>
            <w:tcW w:w="663" w:type="dxa"/>
            <w:tcBorders>
              <w:top w:val="nil"/>
              <w:left w:val="nil"/>
              <w:bottom w:val="single" w:sz="4" w:space="0" w:color="auto"/>
              <w:right w:val="single" w:sz="4" w:space="0" w:color="auto"/>
            </w:tcBorders>
            <w:shd w:val="clear" w:color="auto" w:fill="auto"/>
            <w:noWrap/>
            <w:vAlign w:val="center"/>
            <w:hideMark/>
          </w:tcPr>
          <w:p w14:paraId="4A8AE98F"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Times New Roman"/>
                <w:color w:val="000000"/>
              </w:rPr>
              <w:t>388</w:t>
            </w:r>
          </w:p>
        </w:tc>
        <w:tc>
          <w:tcPr>
            <w:tcW w:w="1000" w:type="dxa"/>
            <w:tcBorders>
              <w:top w:val="nil"/>
              <w:left w:val="nil"/>
              <w:bottom w:val="single" w:sz="4" w:space="0" w:color="auto"/>
              <w:right w:val="single" w:sz="4" w:space="0" w:color="auto"/>
            </w:tcBorders>
            <w:shd w:val="clear" w:color="auto" w:fill="auto"/>
            <w:noWrap/>
            <w:vAlign w:val="center"/>
            <w:hideMark/>
          </w:tcPr>
          <w:p w14:paraId="4E2EDCE7"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Times New Roman"/>
                <w:color w:val="000000"/>
              </w:rPr>
              <w:t>536</w:t>
            </w:r>
          </w:p>
        </w:tc>
        <w:tc>
          <w:tcPr>
            <w:tcW w:w="1000" w:type="dxa"/>
            <w:tcBorders>
              <w:top w:val="nil"/>
              <w:left w:val="nil"/>
              <w:bottom w:val="single" w:sz="4" w:space="0" w:color="auto"/>
              <w:right w:val="single" w:sz="4" w:space="0" w:color="auto"/>
            </w:tcBorders>
            <w:shd w:val="clear" w:color="auto" w:fill="auto"/>
            <w:noWrap/>
            <w:vAlign w:val="center"/>
            <w:hideMark/>
          </w:tcPr>
          <w:p w14:paraId="76DD6E78"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Times New Roman"/>
                <w:color w:val="000000"/>
              </w:rPr>
              <w:t>719</w:t>
            </w:r>
          </w:p>
        </w:tc>
      </w:tr>
      <w:tr w:rsidR="001A79B0" w:rsidRPr="004D6FF3" w14:paraId="6C570F21" w14:textId="77777777" w:rsidTr="006E2833">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center"/>
          </w:tcPr>
          <w:p w14:paraId="6973BCB8" w14:textId="6F4EE339" w:rsidR="001A79B0" w:rsidRPr="004D6FF3" w:rsidRDefault="001A79B0" w:rsidP="00117671">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Asian spot price</w:t>
            </w:r>
          </w:p>
        </w:tc>
        <w:tc>
          <w:tcPr>
            <w:tcW w:w="663" w:type="dxa"/>
            <w:tcBorders>
              <w:top w:val="nil"/>
              <w:left w:val="nil"/>
              <w:bottom w:val="single" w:sz="4" w:space="0" w:color="auto"/>
              <w:right w:val="single" w:sz="4" w:space="0" w:color="auto"/>
            </w:tcBorders>
            <w:shd w:val="clear" w:color="auto" w:fill="auto"/>
            <w:noWrap/>
            <w:vAlign w:val="center"/>
          </w:tcPr>
          <w:p w14:paraId="181BC486" w14:textId="68B66ED1" w:rsidR="001A79B0" w:rsidRPr="004D6FF3" w:rsidRDefault="001A79B0" w:rsidP="00117671">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6.7</w:t>
            </w:r>
          </w:p>
        </w:tc>
        <w:tc>
          <w:tcPr>
            <w:tcW w:w="1000" w:type="dxa"/>
            <w:tcBorders>
              <w:top w:val="nil"/>
              <w:left w:val="nil"/>
              <w:bottom w:val="single" w:sz="4" w:space="0" w:color="auto"/>
              <w:right w:val="single" w:sz="4" w:space="0" w:color="auto"/>
            </w:tcBorders>
            <w:shd w:val="clear" w:color="auto" w:fill="auto"/>
            <w:noWrap/>
            <w:vAlign w:val="center"/>
          </w:tcPr>
          <w:p w14:paraId="7C4F0ECF" w14:textId="6478A9D7" w:rsidR="001A79B0" w:rsidRPr="004D6FF3" w:rsidRDefault="001A79B0" w:rsidP="00117671">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8.5</w:t>
            </w:r>
          </w:p>
        </w:tc>
        <w:tc>
          <w:tcPr>
            <w:tcW w:w="1000" w:type="dxa"/>
            <w:tcBorders>
              <w:top w:val="nil"/>
              <w:left w:val="nil"/>
              <w:bottom w:val="single" w:sz="4" w:space="0" w:color="auto"/>
              <w:right w:val="single" w:sz="4" w:space="0" w:color="auto"/>
            </w:tcBorders>
            <w:shd w:val="clear" w:color="auto" w:fill="auto"/>
            <w:noWrap/>
            <w:vAlign w:val="center"/>
          </w:tcPr>
          <w:p w14:paraId="7FF81BFF" w14:textId="2582CCC0" w:rsidR="001A79B0" w:rsidRPr="004D6FF3" w:rsidRDefault="001A79B0" w:rsidP="00117671">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9.9</w:t>
            </w:r>
          </w:p>
        </w:tc>
      </w:tr>
      <w:tr w:rsidR="001A79B0" w:rsidRPr="004D6FF3" w14:paraId="01CEAFFB" w14:textId="77777777" w:rsidTr="006E2833">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center"/>
          </w:tcPr>
          <w:p w14:paraId="7AB229C4" w14:textId="15D2BF06" w:rsidR="001A79B0" w:rsidRDefault="001A79B0" w:rsidP="00117671">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European spot price</w:t>
            </w:r>
          </w:p>
        </w:tc>
        <w:tc>
          <w:tcPr>
            <w:tcW w:w="663" w:type="dxa"/>
            <w:tcBorders>
              <w:top w:val="nil"/>
              <w:left w:val="nil"/>
              <w:bottom w:val="single" w:sz="4" w:space="0" w:color="auto"/>
              <w:right w:val="single" w:sz="4" w:space="0" w:color="auto"/>
            </w:tcBorders>
            <w:shd w:val="clear" w:color="auto" w:fill="auto"/>
            <w:noWrap/>
            <w:vAlign w:val="center"/>
          </w:tcPr>
          <w:p w14:paraId="1FF94E39" w14:textId="36E10399" w:rsidR="001A79B0" w:rsidRPr="004D6FF3" w:rsidRDefault="001A79B0" w:rsidP="00117671">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5.4</w:t>
            </w:r>
          </w:p>
        </w:tc>
        <w:tc>
          <w:tcPr>
            <w:tcW w:w="1000" w:type="dxa"/>
            <w:tcBorders>
              <w:top w:val="nil"/>
              <w:left w:val="nil"/>
              <w:bottom w:val="single" w:sz="4" w:space="0" w:color="auto"/>
              <w:right w:val="single" w:sz="4" w:space="0" w:color="auto"/>
            </w:tcBorders>
            <w:shd w:val="clear" w:color="auto" w:fill="auto"/>
            <w:noWrap/>
            <w:vAlign w:val="center"/>
          </w:tcPr>
          <w:p w14:paraId="3A3AAAA9" w14:textId="3E283C11" w:rsidR="001A79B0" w:rsidRPr="004D6FF3" w:rsidRDefault="001A79B0" w:rsidP="00117671">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7.6</w:t>
            </w:r>
          </w:p>
        </w:tc>
        <w:tc>
          <w:tcPr>
            <w:tcW w:w="1000" w:type="dxa"/>
            <w:tcBorders>
              <w:top w:val="nil"/>
              <w:left w:val="nil"/>
              <w:bottom w:val="single" w:sz="4" w:space="0" w:color="auto"/>
              <w:right w:val="single" w:sz="4" w:space="0" w:color="auto"/>
            </w:tcBorders>
            <w:shd w:val="clear" w:color="auto" w:fill="auto"/>
            <w:noWrap/>
            <w:vAlign w:val="center"/>
          </w:tcPr>
          <w:p w14:paraId="77B1F9F2" w14:textId="733B942C" w:rsidR="001A79B0" w:rsidRPr="004D6FF3" w:rsidRDefault="001A79B0" w:rsidP="00117671">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9.5</w:t>
            </w:r>
          </w:p>
        </w:tc>
      </w:tr>
      <w:tr w:rsidR="00B02E4F" w:rsidRPr="004D6FF3" w14:paraId="5B8193A5" w14:textId="77777777" w:rsidTr="006E2833">
        <w:trPr>
          <w:trHeight w:val="300"/>
          <w:jc w:val="center"/>
        </w:trPr>
        <w:tc>
          <w:tcPr>
            <w:tcW w:w="2430" w:type="dxa"/>
            <w:tcBorders>
              <w:top w:val="nil"/>
              <w:left w:val="single" w:sz="4" w:space="0" w:color="auto"/>
              <w:bottom w:val="single" w:sz="4" w:space="0" w:color="auto"/>
              <w:right w:val="single" w:sz="4" w:space="0" w:color="auto"/>
            </w:tcBorders>
            <w:shd w:val="clear" w:color="auto" w:fill="auto"/>
            <w:noWrap/>
            <w:vAlign w:val="center"/>
            <w:hideMark/>
          </w:tcPr>
          <w:p w14:paraId="6D6140A2"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Calibri-Bold"/>
                <w:color w:val="000000"/>
              </w:rPr>
              <w:t>Henry Hub price ($2017/</w:t>
            </w:r>
            <w:proofErr w:type="spellStart"/>
            <w:r w:rsidRPr="004D6FF3">
              <w:rPr>
                <w:rFonts w:ascii="Calibri" w:eastAsia="Times New Roman" w:hAnsi="Calibri" w:cs="Calibri-Bold"/>
                <w:color w:val="000000"/>
              </w:rPr>
              <w:t>MBtu</w:t>
            </w:r>
            <w:proofErr w:type="spellEnd"/>
            <w:r w:rsidRPr="004D6FF3">
              <w:rPr>
                <w:rFonts w:ascii="Calibri" w:eastAsia="Times New Roman" w:hAnsi="Calibri" w:cs="Calibri-Bold"/>
                <w:color w:val="000000"/>
              </w:rPr>
              <w:t>)</w:t>
            </w:r>
          </w:p>
        </w:tc>
        <w:tc>
          <w:tcPr>
            <w:tcW w:w="663" w:type="dxa"/>
            <w:tcBorders>
              <w:top w:val="nil"/>
              <w:left w:val="nil"/>
              <w:bottom w:val="single" w:sz="4" w:space="0" w:color="auto"/>
              <w:right w:val="single" w:sz="4" w:space="0" w:color="auto"/>
            </w:tcBorders>
            <w:shd w:val="clear" w:color="auto" w:fill="auto"/>
            <w:noWrap/>
            <w:vAlign w:val="center"/>
            <w:hideMark/>
          </w:tcPr>
          <w:p w14:paraId="46F96B41"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Times New Roman"/>
                <w:color w:val="000000"/>
              </w:rPr>
              <w:t>3.0</w:t>
            </w:r>
          </w:p>
        </w:tc>
        <w:tc>
          <w:tcPr>
            <w:tcW w:w="1000" w:type="dxa"/>
            <w:tcBorders>
              <w:top w:val="nil"/>
              <w:left w:val="nil"/>
              <w:bottom w:val="single" w:sz="4" w:space="0" w:color="auto"/>
              <w:right w:val="single" w:sz="4" w:space="0" w:color="auto"/>
            </w:tcBorders>
            <w:shd w:val="clear" w:color="auto" w:fill="auto"/>
            <w:noWrap/>
            <w:vAlign w:val="center"/>
            <w:hideMark/>
          </w:tcPr>
          <w:p w14:paraId="699485BC"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Times New Roman"/>
                <w:color w:val="000000"/>
              </w:rPr>
              <w:t>3.5</w:t>
            </w:r>
          </w:p>
        </w:tc>
        <w:tc>
          <w:tcPr>
            <w:tcW w:w="1000" w:type="dxa"/>
            <w:tcBorders>
              <w:top w:val="nil"/>
              <w:left w:val="nil"/>
              <w:bottom w:val="single" w:sz="4" w:space="0" w:color="auto"/>
              <w:right w:val="single" w:sz="4" w:space="0" w:color="auto"/>
            </w:tcBorders>
            <w:shd w:val="clear" w:color="auto" w:fill="auto"/>
            <w:noWrap/>
            <w:vAlign w:val="center"/>
            <w:hideMark/>
          </w:tcPr>
          <w:p w14:paraId="01DB776F" w14:textId="77777777" w:rsidR="00B02E4F" w:rsidRPr="004D6FF3" w:rsidRDefault="00B02E4F" w:rsidP="00117671">
            <w:pPr>
              <w:spacing w:after="0" w:line="240" w:lineRule="auto"/>
              <w:jc w:val="center"/>
              <w:rPr>
                <w:rFonts w:ascii="Calibri" w:eastAsia="Times New Roman" w:hAnsi="Calibri" w:cs="Times New Roman"/>
                <w:color w:val="000000"/>
              </w:rPr>
            </w:pPr>
            <w:r w:rsidRPr="004D6FF3">
              <w:rPr>
                <w:rFonts w:ascii="Calibri" w:eastAsia="Times New Roman" w:hAnsi="Calibri" w:cs="Times New Roman"/>
                <w:color w:val="000000"/>
              </w:rPr>
              <w:t>4.8</w:t>
            </w:r>
          </w:p>
        </w:tc>
      </w:tr>
    </w:tbl>
    <w:p w14:paraId="21DF3032" w14:textId="77777777" w:rsidR="006E2833" w:rsidRPr="00B64B0A" w:rsidRDefault="006E2833" w:rsidP="006E2833">
      <w:pPr>
        <w:pStyle w:val="Caption"/>
        <w:spacing w:after="160"/>
        <w:contextualSpacing/>
        <w:rPr>
          <w:rFonts w:ascii="Calibri Light" w:eastAsia="Calibri" w:hAnsi="Calibri Light" w:cs="Arial"/>
          <w:b/>
          <w:bCs/>
          <w:i w:val="0"/>
          <w:iCs w:val="0"/>
          <w:sz w:val="16"/>
          <w:szCs w:val="16"/>
          <w:lang w:val="en-AU" w:eastAsia="ja-JP"/>
        </w:rPr>
      </w:pPr>
      <w:r w:rsidRPr="005D128B">
        <w:rPr>
          <w:rFonts w:ascii="Calibri Light" w:eastAsia="Calibri" w:hAnsi="Calibri Light" w:cs="Arial"/>
          <w:sz w:val="16"/>
          <w:szCs w:val="16"/>
          <w:lang w:val="en-AU" w:eastAsia="ja-JP"/>
        </w:rPr>
        <w:t>Source: GECF Secretar</w:t>
      </w:r>
      <w:r>
        <w:rPr>
          <w:rFonts w:ascii="Calibri Light" w:eastAsia="Calibri" w:hAnsi="Calibri Light" w:cs="Arial"/>
          <w:sz w:val="16"/>
          <w:szCs w:val="16"/>
          <w:lang w:val="en-AU" w:eastAsia="ja-JP"/>
        </w:rPr>
        <w:t>iat based on data from GECF GGM</w:t>
      </w:r>
    </w:p>
    <w:p w14:paraId="3EDD65AE" w14:textId="77777777" w:rsidR="00B02E4F" w:rsidRDefault="00B02E4F" w:rsidP="00B02E4F">
      <w:pPr>
        <w:jc w:val="both"/>
        <w:rPr>
          <w:rFonts w:cs="Helvetica"/>
        </w:rPr>
      </w:pPr>
      <w:r>
        <w:lastRenderedPageBreak/>
        <w:t xml:space="preserve">The pipeline growth described by GECF </w:t>
      </w:r>
      <w:proofErr w:type="gramStart"/>
      <w:r>
        <w:t>project-wise</w:t>
      </w:r>
      <w:proofErr w:type="gramEnd"/>
      <w:r>
        <w:t xml:space="preserve"> includes the completion of </w:t>
      </w:r>
      <w:r w:rsidRPr="00C01FAA">
        <w:rPr>
          <w:rFonts w:cs="Helvetica"/>
        </w:rPr>
        <w:t xml:space="preserve">Central Asia-China </w:t>
      </w:r>
      <w:r>
        <w:rPr>
          <w:rFonts w:cs="Helvetica"/>
        </w:rPr>
        <w:t>g</w:t>
      </w:r>
      <w:r w:rsidRPr="00C01FAA">
        <w:rPr>
          <w:rFonts w:cs="Helvetica"/>
        </w:rPr>
        <w:t xml:space="preserve">as </w:t>
      </w:r>
      <w:r>
        <w:rPr>
          <w:rFonts w:cs="Helvetica"/>
        </w:rPr>
        <w:t>p</w:t>
      </w:r>
      <w:r w:rsidRPr="00C01FAA">
        <w:rPr>
          <w:rFonts w:cs="Helvetica"/>
        </w:rPr>
        <w:t>ipeline</w:t>
      </w:r>
      <w:r>
        <w:rPr>
          <w:rFonts w:cs="Helvetica"/>
        </w:rPr>
        <w:t xml:space="preserve"> D</w:t>
      </w:r>
      <w:r w:rsidRPr="00C01FAA">
        <w:rPr>
          <w:rFonts w:cs="Helvetica"/>
        </w:rPr>
        <w:t>,</w:t>
      </w:r>
      <w:r>
        <w:rPr>
          <w:rFonts w:cs="Helvetica"/>
        </w:rPr>
        <w:t xml:space="preserve"> the Turkmenistan-Afghanistan-Pakistan-India pipeline (TAPI), the Iran-Pakistan pipeline,</w:t>
      </w:r>
      <w:r w:rsidRPr="00C01FAA">
        <w:rPr>
          <w:rFonts w:cs="Helvetica"/>
        </w:rPr>
        <w:t xml:space="preserve"> </w:t>
      </w:r>
      <w:r>
        <w:rPr>
          <w:rFonts w:cs="Helvetica"/>
        </w:rPr>
        <w:t xml:space="preserve">and both routes for the </w:t>
      </w:r>
      <w:r w:rsidRPr="00C01FAA">
        <w:rPr>
          <w:rFonts w:cs="Helvetica"/>
        </w:rPr>
        <w:t xml:space="preserve">Power of Siberia </w:t>
      </w:r>
      <w:r>
        <w:rPr>
          <w:rFonts w:cs="Helvetica"/>
        </w:rPr>
        <w:t>p</w:t>
      </w:r>
      <w:r w:rsidRPr="00C01FAA">
        <w:rPr>
          <w:rFonts w:cs="Helvetica"/>
        </w:rPr>
        <w:t>ipeline</w:t>
      </w:r>
      <w:r>
        <w:rPr>
          <w:rFonts w:cs="Helvetica"/>
        </w:rPr>
        <w:t xml:space="preserve">s. </w:t>
      </w:r>
    </w:p>
    <w:p w14:paraId="4E92979B" w14:textId="19E2718D" w:rsidR="00B02E4F" w:rsidRDefault="00170610" w:rsidP="00B02E4F">
      <w:pPr>
        <w:jc w:val="both"/>
        <w:rPr>
          <w:rFonts w:asciiTheme="majorHAnsi" w:hAnsiTheme="majorHAnsi" w:cstheme="majorHAnsi"/>
          <w:color w:val="373737"/>
          <w:sz w:val="28"/>
          <w:szCs w:val="24"/>
        </w:rPr>
      </w:pPr>
      <w:r>
        <w:rPr>
          <w:rFonts w:cs="Helvetica"/>
        </w:rPr>
        <w:t xml:space="preserve">For European </w:t>
      </w:r>
      <w:r w:rsidR="00B02E4F">
        <w:rPr>
          <w:rFonts w:cs="Helvetica"/>
        </w:rPr>
        <w:t xml:space="preserve">supplies, pipeline capacity is to </w:t>
      </w:r>
      <w:proofErr w:type="gramStart"/>
      <w:r w:rsidR="00B02E4F">
        <w:rPr>
          <w:rFonts w:cs="Helvetica"/>
        </w:rPr>
        <w:t>be expanded</w:t>
      </w:r>
      <w:proofErr w:type="gramEnd"/>
      <w:r w:rsidR="00B02E4F">
        <w:rPr>
          <w:rFonts w:cs="Helvetica"/>
        </w:rPr>
        <w:t xml:space="preserve"> with completion of the </w:t>
      </w:r>
      <w:r w:rsidR="00B02E4F">
        <w:t xml:space="preserve">Southern Gas Corridor </w:t>
      </w:r>
      <w:r w:rsidR="00B02E4F" w:rsidRPr="00C30B52">
        <w:t xml:space="preserve">(via </w:t>
      </w:r>
      <w:proofErr w:type="spellStart"/>
      <w:r w:rsidR="00B02E4F" w:rsidRPr="00C30B52">
        <w:t>Transadriatic</w:t>
      </w:r>
      <w:proofErr w:type="spellEnd"/>
      <w:r w:rsidR="00B02E4F" w:rsidRPr="00C30B52">
        <w:t xml:space="preserve"> pipeline or TAP),</w:t>
      </w:r>
      <w:r w:rsidR="00B02E4F">
        <w:t xml:space="preserve"> Nord Stream 2 and 3, and the Turkish Stream pipelines, as well as several intra-EU gas pipeline interconnectors to be built in Europe. While LNG infrastructure will see a much faster build-up than pipelines, the cost of LNG shipments will </w:t>
      </w:r>
      <w:r w:rsidR="0066180B">
        <w:t>force</w:t>
      </w:r>
      <w:r w:rsidR="00B02E4F">
        <w:t xml:space="preserve"> many projects (such as most Gulf of Mexico LNG) to take cash losses or mothball the capacity. </w:t>
      </w:r>
    </w:p>
    <w:p w14:paraId="5D61C60C" w14:textId="7C54F00A" w:rsidR="00FD694C" w:rsidRDefault="00763B38" w:rsidP="00763B38">
      <w:pPr>
        <w:jc w:val="lowKashida"/>
      </w:pPr>
      <w:r w:rsidRPr="00433BE0">
        <w:rPr>
          <w:b/>
        </w:rPr>
        <w:t>IEA WEO 2018</w:t>
      </w:r>
      <w:r w:rsidRPr="00763B38">
        <w:t xml:space="preserve"> projects growth in natural gas trade</w:t>
      </w:r>
      <w:r w:rsidR="005830B7">
        <w:t xml:space="preserve"> to </w:t>
      </w:r>
      <w:r w:rsidR="0075626B">
        <w:t>add 230</w:t>
      </w:r>
      <w:r w:rsidR="005830B7">
        <w:t xml:space="preserve"> </w:t>
      </w:r>
      <w:proofErr w:type="spellStart"/>
      <w:r w:rsidR="005830B7">
        <w:t>bcm</w:t>
      </w:r>
      <w:proofErr w:type="spellEnd"/>
      <w:r w:rsidR="005830B7">
        <w:t xml:space="preserve"> by 2025 and </w:t>
      </w:r>
      <w:r w:rsidR="0075626B">
        <w:t>another 290</w:t>
      </w:r>
      <w:r w:rsidR="005830B7">
        <w:t xml:space="preserve"> </w:t>
      </w:r>
      <w:proofErr w:type="spellStart"/>
      <w:r w:rsidR="005830B7">
        <w:t>bcm</w:t>
      </w:r>
      <w:proofErr w:type="spellEnd"/>
      <w:r w:rsidR="005830B7">
        <w:t xml:space="preserve"> by 2040, </w:t>
      </w:r>
      <w:r>
        <w:t xml:space="preserve">with LNG trade adding 140 </w:t>
      </w:r>
      <w:proofErr w:type="spellStart"/>
      <w:r>
        <w:t>mtpa</w:t>
      </w:r>
      <w:proofErr w:type="spellEnd"/>
      <w:r>
        <w:t xml:space="preserve"> (186 </w:t>
      </w:r>
      <w:proofErr w:type="spellStart"/>
      <w:r>
        <w:t>bcm</w:t>
      </w:r>
      <w:proofErr w:type="spellEnd"/>
      <w:r>
        <w:t xml:space="preserve">) to 2025 and another 180 </w:t>
      </w:r>
      <w:proofErr w:type="spellStart"/>
      <w:r>
        <w:t>mtpa</w:t>
      </w:r>
      <w:proofErr w:type="spellEnd"/>
      <w:r>
        <w:t xml:space="preserve"> (250 </w:t>
      </w:r>
      <w:proofErr w:type="spellStart"/>
      <w:r>
        <w:t>bcm</w:t>
      </w:r>
      <w:proofErr w:type="spellEnd"/>
      <w:r>
        <w:t xml:space="preserve">) to 2040. </w:t>
      </w:r>
      <w:r w:rsidR="00C5466C">
        <w:t xml:space="preserve">The main growth markets are </w:t>
      </w:r>
      <w:r w:rsidR="0081426D">
        <w:t>emerging Asia Pacific importers</w:t>
      </w:r>
      <w:r w:rsidR="00C5466C">
        <w:t xml:space="preserve">, with </w:t>
      </w:r>
      <w:r w:rsidR="0081426D">
        <w:t xml:space="preserve">extra </w:t>
      </w:r>
      <w:r w:rsidR="00C5466C">
        <w:t>1</w:t>
      </w:r>
      <w:r w:rsidR="0081426D">
        <w:t>86</w:t>
      </w:r>
      <w:r w:rsidR="00C5466C">
        <w:t xml:space="preserve"> and </w:t>
      </w:r>
      <w:r w:rsidR="0081426D">
        <w:t>221</w:t>
      </w:r>
      <w:r w:rsidR="00C5466C">
        <w:t xml:space="preserve"> </w:t>
      </w:r>
      <w:proofErr w:type="spellStart"/>
      <w:r w:rsidR="00C5466C">
        <w:t>mtpa</w:t>
      </w:r>
      <w:proofErr w:type="spellEnd"/>
      <w:r w:rsidR="0081426D">
        <w:t xml:space="preserve"> in 2025 and 2040 respectively to offset the effect of fluctuations in both mature Asian markets and in the European market.</w:t>
      </w:r>
      <w:r w:rsidR="00063527">
        <w:t xml:space="preserve"> </w:t>
      </w:r>
    </w:p>
    <w:p w14:paraId="6B57CAA4" w14:textId="73DED768" w:rsidR="00433BE0" w:rsidRPr="00B02E4F" w:rsidRDefault="00433BE0" w:rsidP="005730C7">
      <w:pPr>
        <w:pStyle w:val="Heading4"/>
        <w:jc w:val="center"/>
      </w:pPr>
      <w:bookmarkStart w:id="55" w:name="_Toc1561779"/>
      <w:bookmarkStart w:id="56" w:name="_Toc1561962"/>
      <w:bookmarkStart w:id="57" w:name="_Toc1661452"/>
      <w:r w:rsidRPr="00B02E4F">
        <w:t>Table</w:t>
      </w:r>
      <w:r w:rsidR="00513459">
        <w:t xml:space="preserve"> </w:t>
      </w:r>
      <w:r w:rsidR="008A47BC">
        <w:t>4:</w:t>
      </w:r>
      <w:r w:rsidRPr="00B02E4F">
        <w:t xml:space="preserve"> IEA WEO gas trade projection</w:t>
      </w:r>
      <w:r w:rsidR="00063527" w:rsidRPr="00B02E4F">
        <w:t xml:space="preserve"> (</w:t>
      </w:r>
      <w:proofErr w:type="spellStart"/>
      <w:r w:rsidR="00063527" w:rsidRPr="00B02E4F">
        <w:t>bcm</w:t>
      </w:r>
      <w:proofErr w:type="spellEnd"/>
      <w:r w:rsidR="00063527" w:rsidRPr="00B02E4F">
        <w:t>)</w:t>
      </w:r>
      <w:bookmarkEnd w:id="55"/>
      <w:bookmarkEnd w:id="56"/>
      <w:bookmarkEnd w:id="57"/>
    </w:p>
    <w:tbl>
      <w:tblPr>
        <w:tblW w:w="7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663"/>
        <w:gridCol w:w="663"/>
        <w:gridCol w:w="663"/>
        <w:gridCol w:w="663"/>
        <w:gridCol w:w="663"/>
        <w:gridCol w:w="663"/>
        <w:gridCol w:w="663"/>
      </w:tblGrid>
      <w:tr w:rsidR="004D6FF3" w:rsidRPr="00FE781F" w14:paraId="4F46F7C4" w14:textId="77777777" w:rsidTr="001A79B0">
        <w:trPr>
          <w:trHeight w:val="300"/>
          <w:jc w:val="center"/>
        </w:trPr>
        <w:tc>
          <w:tcPr>
            <w:tcW w:w="3060" w:type="dxa"/>
            <w:vMerge w:val="restart"/>
            <w:shd w:val="clear" w:color="auto" w:fill="auto"/>
            <w:noWrap/>
            <w:vAlign w:val="center"/>
            <w:hideMark/>
          </w:tcPr>
          <w:p w14:paraId="663F7AA0" w14:textId="4B102685" w:rsidR="004D6FF3" w:rsidRPr="00FE781F" w:rsidRDefault="004D6FF3" w:rsidP="00A9331B">
            <w:pPr>
              <w:spacing w:after="0" w:line="240" w:lineRule="auto"/>
              <w:jc w:val="center"/>
              <w:rPr>
                <w:rFonts w:ascii="Times New Roman" w:eastAsia="Times New Roman" w:hAnsi="Times New Roman" w:cs="Times New Roman"/>
                <w:sz w:val="24"/>
                <w:szCs w:val="24"/>
              </w:rPr>
            </w:pPr>
          </w:p>
        </w:tc>
        <w:tc>
          <w:tcPr>
            <w:tcW w:w="663" w:type="dxa"/>
            <w:vMerge w:val="restart"/>
            <w:shd w:val="clear" w:color="auto" w:fill="auto"/>
            <w:noWrap/>
            <w:vAlign w:val="center"/>
            <w:hideMark/>
          </w:tcPr>
          <w:p w14:paraId="1EF78AEA" w14:textId="4670B97E" w:rsidR="004D6FF3" w:rsidRPr="00FE781F" w:rsidRDefault="004D6FF3" w:rsidP="00A9331B">
            <w:pPr>
              <w:spacing w:after="0" w:line="240" w:lineRule="auto"/>
              <w:jc w:val="center"/>
              <w:rPr>
                <w:rFonts w:ascii="Times New Roman" w:eastAsia="Times New Roman" w:hAnsi="Times New Roman" w:cs="Times New Roman"/>
                <w:sz w:val="20"/>
                <w:szCs w:val="20"/>
              </w:rPr>
            </w:pPr>
            <w:r w:rsidRPr="00FE781F">
              <w:rPr>
                <w:rFonts w:ascii="Calibri" w:eastAsia="Times New Roman" w:hAnsi="Calibri" w:cs="Times New Roman"/>
                <w:b/>
                <w:bCs/>
                <w:color w:val="000000"/>
              </w:rPr>
              <w:t>2017</w:t>
            </w:r>
          </w:p>
        </w:tc>
        <w:tc>
          <w:tcPr>
            <w:tcW w:w="1326" w:type="dxa"/>
            <w:gridSpan w:val="2"/>
            <w:shd w:val="clear" w:color="auto" w:fill="auto"/>
            <w:noWrap/>
            <w:vAlign w:val="center"/>
            <w:hideMark/>
          </w:tcPr>
          <w:p w14:paraId="1D1C0EB3" w14:textId="0A26D5FD" w:rsidR="004D6FF3" w:rsidRPr="00FE781F" w:rsidRDefault="004D6FF3" w:rsidP="00A9331B">
            <w:pPr>
              <w:spacing w:after="0" w:line="240" w:lineRule="auto"/>
              <w:jc w:val="center"/>
              <w:rPr>
                <w:rFonts w:ascii="Calibri" w:eastAsia="Times New Roman" w:hAnsi="Calibri" w:cs="Times New Roman"/>
                <w:color w:val="000000"/>
              </w:rPr>
            </w:pPr>
            <w:r w:rsidRPr="00FE781F">
              <w:rPr>
                <w:rFonts w:ascii="Calibri" w:eastAsia="Times New Roman" w:hAnsi="Calibri" w:cs="Times New Roman"/>
                <w:color w:val="000000"/>
              </w:rPr>
              <w:t>NPS</w:t>
            </w:r>
          </w:p>
        </w:tc>
        <w:tc>
          <w:tcPr>
            <w:tcW w:w="1326" w:type="dxa"/>
            <w:gridSpan w:val="2"/>
            <w:shd w:val="clear" w:color="auto" w:fill="auto"/>
            <w:noWrap/>
            <w:vAlign w:val="center"/>
            <w:hideMark/>
          </w:tcPr>
          <w:p w14:paraId="5C12B7A2" w14:textId="4C4469D2" w:rsidR="004D6FF3" w:rsidRPr="00FE781F" w:rsidRDefault="004D6FF3" w:rsidP="00A9331B">
            <w:pPr>
              <w:spacing w:after="0" w:line="240" w:lineRule="auto"/>
              <w:jc w:val="center"/>
              <w:rPr>
                <w:rFonts w:ascii="Calibri" w:eastAsia="Times New Roman" w:hAnsi="Calibri" w:cs="Times New Roman"/>
                <w:color w:val="000000"/>
              </w:rPr>
            </w:pPr>
            <w:r w:rsidRPr="00FE781F">
              <w:rPr>
                <w:rFonts w:ascii="Calibri" w:eastAsia="Times New Roman" w:hAnsi="Calibri" w:cs="Times New Roman"/>
                <w:color w:val="000000"/>
              </w:rPr>
              <w:t>CPS</w:t>
            </w:r>
          </w:p>
        </w:tc>
        <w:tc>
          <w:tcPr>
            <w:tcW w:w="1326" w:type="dxa"/>
            <w:gridSpan w:val="2"/>
            <w:shd w:val="clear" w:color="auto" w:fill="auto"/>
            <w:noWrap/>
            <w:vAlign w:val="center"/>
            <w:hideMark/>
          </w:tcPr>
          <w:p w14:paraId="22E53C4C" w14:textId="464D756F" w:rsidR="004D6FF3" w:rsidRPr="00FE781F" w:rsidRDefault="004D6FF3" w:rsidP="00A9331B">
            <w:pPr>
              <w:spacing w:after="0" w:line="240" w:lineRule="auto"/>
              <w:jc w:val="center"/>
              <w:rPr>
                <w:rFonts w:ascii="Calibri" w:eastAsia="Times New Roman" w:hAnsi="Calibri" w:cs="Times New Roman"/>
                <w:color w:val="000000"/>
              </w:rPr>
            </w:pPr>
            <w:r w:rsidRPr="00FE781F">
              <w:rPr>
                <w:rFonts w:ascii="Calibri" w:eastAsia="Times New Roman" w:hAnsi="Calibri" w:cs="Times New Roman"/>
                <w:color w:val="000000"/>
              </w:rPr>
              <w:t>SD</w:t>
            </w:r>
          </w:p>
        </w:tc>
      </w:tr>
      <w:tr w:rsidR="004D6FF3" w:rsidRPr="00FE781F" w14:paraId="3C4421BA" w14:textId="77777777" w:rsidTr="001A79B0">
        <w:trPr>
          <w:trHeight w:val="300"/>
          <w:jc w:val="center"/>
        </w:trPr>
        <w:tc>
          <w:tcPr>
            <w:tcW w:w="3060" w:type="dxa"/>
            <w:vMerge/>
            <w:shd w:val="clear" w:color="auto" w:fill="auto"/>
            <w:noWrap/>
            <w:vAlign w:val="center"/>
            <w:hideMark/>
          </w:tcPr>
          <w:p w14:paraId="709BF0F8" w14:textId="2208739A" w:rsidR="004D6FF3" w:rsidRPr="00FE781F" w:rsidRDefault="004D6FF3" w:rsidP="00A9331B">
            <w:pPr>
              <w:spacing w:after="0" w:line="240" w:lineRule="auto"/>
              <w:jc w:val="center"/>
              <w:rPr>
                <w:rFonts w:ascii="Calibri" w:eastAsia="Times New Roman" w:hAnsi="Calibri" w:cs="Times New Roman"/>
                <w:b/>
                <w:bCs/>
                <w:color w:val="000000"/>
              </w:rPr>
            </w:pPr>
          </w:p>
        </w:tc>
        <w:tc>
          <w:tcPr>
            <w:tcW w:w="663" w:type="dxa"/>
            <w:vMerge/>
            <w:shd w:val="clear" w:color="auto" w:fill="auto"/>
            <w:noWrap/>
            <w:vAlign w:val="center"/>
            <w:hideMark/>
          </w:tcPr>
          <w:p w14:paraId="05615312" w14:textId="5F0463AC" w:rsidR="004D6FF3" w:rsidRPr="00FE781F" w:rsidRDefault="004D6FF3" w:rsidP="00A9331B">
            <w:pPr>
              <w:spacing w:after="0" w:line="240" w:lineRule="auto"/>
              <w:jc w:val="center"/>
              <w:rPr>
                <w:rFonts w:ascii="Calibri" w:eastAsia="Times New Roman" w:hAnsi="Calibri" w:cs="Times New Roman"/>
                <w:b/>
                <w:bCs/>
                <w:color w:val="000000"/>
              </w:rPr>
            </w:pPr>
          </w:p>
        </w:tc>
        <w:tc>
          <w:tcPr>
            <w:tcW w:w="663" w:type="dxa"/>
            <w:shd w:val="clear" w:color="auto" w:fill="auto"/>
            <w:noWrap/>
            <w:vAlign w:val="center"/>
            <w:hideMark/>
          </w:tcPr>
          <w:p w14:paraId="01BC9F60" w14:textId="77777777" w:rsidR="004D6FF3" w:rsidRPr="00FE781F" w:rsidRDefault="004D6FF3" w:rsidP="00A9331B">
            <w:pPr>
              <w:spacing w:after="0" w:line="240" w:lineRule="auto"/>
              <w:jc w:val="center"/>
              <w:rPr>
                <w:rFonts w:ascii="Calibri" w:eastAsia="Times New Roman" w:hAnsi="Calibri" w:cs="Times New Roman"/>
                <w:b/>
                <w:bCs/>
                <w:color w:val="000000"/>
              </w:rPr>
            </w:pPr>
            <w:r w:rsidRPr="00FE781F">
              <w:rPr>
                <w:rFonts w:ascii="Calibri" w:eastAsia="Times New Roman" w:hAnsi="Calibri" w:cs="Times New Roman"/>
                <w:b/>
                <w:bCs/>
                <w:color w:val="000000"/>
              </w:rPr>
              <w:t>2025</w:t>
            </w:r>
          </w:p>
        </w:tc>
        <w:tc>
          <w:tcPr>
            <w:tcW w:w="663" w:type="dxa"/>
            <w:shd w:val="clear" w:color="auto" w:fill="auto"/>
            <w:noWrap/>
            <w:vAlign w:val="center"/>
            <w:hideMark/>
          </w:tcPr>
          <w:p w14:paraId="3C3AE471" w14:textId="77777777" w:rsidR="004D6FF3" w:rsidRPr="00FE781F" w:rsidRDefault="004D6FF3" w:rsidP="00A9331B">
            <w:pPr>
              <w:spacing w:after="0" w:line="240" w:lineRule="auto"/>
              <w:jc w:val="center"/>
              <w:rPr>
                <w:rFonts w:ascii="Calibri" w:eastAsia="Times New Roman" w:hAnsi="Calibri" w:cs="Times New Roman"/>
                <w:b/>
                <w:bCs/>
                <w:color w:val="000000"/>
              </w:rPr>
            </w:pPr>
            <w:r w:rsidRPr="00FE781F">
              <w:rPr>
                <w:rFonts w:ascii="Calibri" w:eastAsia="Times New Roman" w:hAnsi="Calibri" w:cs="Times New Roman"/>
                <w:b/>
                <w:bCs/>
                <w:color w:val="000000"/>
              </w:rPr>
              <w:t>2040</w:t>
            </w:r>
          </w:p>
        </w:tc>
        <w:tc>
          <w:tcPr>
            <w:tcW w:w="663" w:type="dxa"/>
            <w:shd w:val="clear" w:color="auto" w:fill="auto"/>
            <w:noWrap/>
            <w:vAlign w:val="center"/>
            <w:hideMark/>
          </w:tcPr>
          <w:p w14:paraId="3A5A903B" w14:textId="77777777" w:rsidR="004D6FF3" w:rsidRPr="00FE781F" w:rsidRDefault="004D6FF3" w:rsidP="00A9331B">
            <w:pPr>
              <w:spacing w:after="0" w:line="240" w:lineRule="auto"/>
              <w:jc w:val="center"/>
              <w:rPr>
                <w:rFonts w:ascii="Calibri" w:eastAsia="Times New Roman" w:hAnsi="Calibri" w:cs="Times New Roman"/>
                <w:b/>
                <w:bCs/>
                <w:color w:val="000000"/>
              </w:rPr>
            </w:pPr>
            <w:r w:rsidRPr="00FE781F">
              <w:rPr>
                <w:rFonts w:ascii="Calibri" w:eastAsia="Times New Roman" w:hAnsi="Calibri" w:cs="Times New Roman"/>
                <w:b/>
                <w:bCs/>
                <w:color w:val="000000"/>
              </w:rPr>
              <w:t>2025</w:t>
            </w:r>
          </w:p>
        </w:tc>
        <w:tc>
          <w:tcPr>
            <w:tcW w:w="663" w:type="dxa"/>
            <w:shd w:val="clear" w:color="auto" w:fill="auto"/>
            <w:noWrap/>
            <w:vAlign w:val="center"/>
            <w:hideMark/>
          </w:tcPr>
          <w:p w14:paraId="3F5BF55C" w14:textId="77777777" w:rsidR="004D6FF3" w:rsidRPr="00FE781F" w:rsidRDefault="004D6FF3" w:rsidP="00A9331B">
            <w:pPr>
              <w:spacing w:after="0" w:line="240" w:lineRule="auto"/>
              <w:jc w:val="center"/>
              <w:rPr>
                <w:rFonts w:ascii="Calibri" w:eastAsia="Times New Roman" w:hAnsi="Calibri" w:cs="Times New Roman"/>
                <w:b/>
                <w:bCs/>
                <w:color w:val="000000"/>
              </w:rPr>
            </w:pPr>
            <w:r w:rsidRPr="00FE781F">
              <w:rPr>
                <w:rFonts w:ascii="Calibri" w:eastAsia="Times New Roman" w:hAnsi="Calibri" w:cs="Times New Roman"/>
                <w:b/>
                <w:bCs/>
                <w:color w:val="000000"/>
              </w:rPr>
              <w:t>2040</w:t>
            </w:r>
          </w:p>
        </w:tc>
        <w:tc>
          <w:tcPr>
            <w:tcW w:w="663" w:type="dxa"/>
            <w:shd w:val="clear" w:color="auto" w:fill="auto"/>
            <w:noWrap/>
            <w:vAlign w:val="center"/>
            <w:hideMark/>
          </w:tcPr>
          <w:p w14:paraId="45E0A0AA" w14:textId="77777777" w:rsidR="004D6FF3" w:rsidRPr="00FE781F" w:rsidRDefault="004D6FF3" w:rsidP="00A9331B">
            <w:pPr>
              <w:spacing w:after="0" w:line="240" w:lineRule="auto"/>
              <w:jc w:val="center"/>
              <w:rPr>
                <w:rFonts w:ascii="Calibri" w:eastAsia="Times New Roman" w:hAnsi="Calibri" w:cs="Times New Roman"/>
                <w:b/>
                <w:bCs/>
                <w:color w:val="000000"/>
              </w:rPr>
            </w:pPr>
            <w:r w:rsidRPr="00FE781F">
              <w:rPr>
                <w:rFonts w:ascii="Calibri" w:eastAsia="Times New Roman" w:hAnsi="Calibri" w:cs="Times New Roman"/>
                <w:b/>
                <w:bCs/>
                <w:color w:val="000000"/>
              </w:rPr>
              <w:t>2025</w:t>
            </w:r>
          </w:p>
        </w:tc>
        <w:tc>
          <w:tcPr>
            <w:tcW w:w="663" w:type="dxa"/>
            <w:shd w:val="clear" w:color="auto" w:fill="auto"/>
            <w:noWrap/>
            <w:vAlign w:val="center"/>
            <w:hideMark/>
          </w:tcPr>
          <w:p w14:paraId="55807638" w14:textId="77777777" w:rsidR="004D6FF3" w:rsidRPr="00FE781F" w:rsidRDefault="004D6FF3" w:rsidP="00A9331B">
            <w:pPr>
              <w:spacing w:after="0" w:line="240" w:lineRule="auto"/>
              <w:jc w:val="center"/>
              <w:rPr>
                <w:rFonts w:ascii="Calibri" w:eastAsia="Times New Roman" w:hAnsi="Calibri" w:cs="Times New Roman"/>
                <w:b/>
                <w:bCs/>
                <w:color w:val="000000"/>
              </w:rPr>
            </w:pPr>
            <w:r w:rsidRPr="00FE781F">
              <w:rPr>
                <w:rFonts w:ascii="Calibri" w:eastAsia="Times New Roman" w:hAnsi="Calibri" w:cs="Times New Roman"/>
                <w:b/>
                <w:bCs/>
                <w:color w:val="000000"/>
              </w:rPr>
              <w:t>2040</w:t>
            </w:r>
          </w:p>
        </w:tc>
      </w:tr>
      <w:tr w:rsidR="004D6FF3" w:rsidRPr="00FE781F" w14:paraId="65133191" w14:textId="77777777" w:rsidTr="001A79B0">
        <w:trPr>
          <w:trHeight w:val="315"/>
          <w:jc w:val="center"/>
        </w:trPr>
        <w:tc>
          <w:tcPr>
            <w:tcW w:w="3060" w:type="dxa"/>
            <w:shd w:val="clear" w:color="auto" w:fill="auto"/>
            <w:vAlign w:val="center"/>
            <w:hideMark/>
          </w:tcPr>
          <w:p w14:paraId="1CCEBF2E" w14:textId="77777777" w:rsidR="004D6FF3" w:rsidRPr="00FE781F" w:rsidRDefault="004D6FF3" w:rsidP="00A9331B">
            <w:pPr>
              <w:jc w:val="center"/>
            </w:pPr>
            <w:r w:rsidRPr="00FE781F">
              <w:t>World natural gas production</w:t>
            </w:r>
          </w:p>
        </w:tc>
        <w:tc>
          <w:tcPr>
            <w:tcW w:w="663" w:type="dxa"/>
            <w:shd w:val="clear" w:color="auto" w:fill="auto"/>
            <w:vAlign w:val="center"/>
            <w:hideMark/>
          </w:tcPr>
          <w:p w14:paraId="1C52AF86" w14:textId="77777777" w:rsidR="004D6FF3" w:rsidRPr="00FE781F" w:rsidRDefault="004D6FF3" w:rsidP="00A9331B">
            <w:pPr>
              <w:jc w:val="center"/>
            </w:pPr>
            <w:r w:rsidRPr="00FE781F">
              <w:t>3769</w:t>
            </w:r>
          </w:p>
        </w:tc>
        <w:tc>
          <w:tcPr>
            <w:tcW w:w="663" w:type="dxa"/>
            <w:shd w:val="clear" w:color="auto" w:fill="auto"/>
            <w:vAlign w:val="center"/>
            <w:hideMark/>
          </w:tcPr>
          <w:p w14:paraId="2B247B60" w14:textId="77777777" w:rsidR="004D6FF3" w:rsidRPr="00FE781F" w:rsidRDefault="004D6FF3" w:rsidP="00A9331B">
            <w:pPr>
              <w:jc w:val="center"/>
            </w:pPr>
            <w:r w:rsidRPr="00FE781F">
              <w:t>4293</w:t>
            </w:r>
          </w:p>
        </w:tc>
        <w:tc>
          <w:tcPr>
            <w:tcW w:w="663" w:type="dxa"/>
            <w:shd w:val="clear" w:color="auto" w:fill="auto"/>
            <w:vAlign w:val="center"/>
            <w:hideMark/>
          </w:tcPr>
          <w:p w14:paraId="319DE798" w14:textId="77777777" w:rsidR="004D6FF3" w:rsidRPr="00FE781F" w:rsidRDefault="004D6FF3" w:rsidP="00A9331B">
            <w:pPr>
              <w:jc w:val="center"/>
            </w:pPr>
            <w:r w:rsidRPr="00FE781F">
              <w:t>5399</w:t>
            </w:r>
          </w:p>
        </w:tc>
        <w:tc>
          <w:tcPr>
            <w:tcW w:w="663" w:type="dxa"/>
            <w:shd w:val="clear" w:color="auto" w:fill="auto"/>
            <w:vAlign w:val="center"/>
            <w:hideMark/>
          </w:tcPr>
          <w:p w14:paraId="11CA8445" w14:textId="77777777" w:rsidR="004D6FF3" w:rsidRPr="00FE781F" w:rsidRDefault="004D6FF3" w:rsidP="00A9331B">
            <w:pPr>
              <w:jc w:val="center"/>
            </w:pPr>
            <w:r w:rsidRPr="00FE781F">
              <w:t>4386</w:t>
            </w:r>
          </w:p>
        </w:tc>
        <w:tc>
          <w:tcPr>
            <w:tcW w:w="663" w:type="dxa"/>
            <w:shd w:val="clear" w:color="auto" w:fill="auto"/>
            <w:vAlign w:val="center"/>
            <w:hideMark/>
          </w:tcPr>
          <w:p w14:paraId="2140FA93" w14:textId="77777777" w:rsidR="004D6FF3" w:rsidRPr="00FE781F" w:rsidRDefault="004D6FF3" w:rsidP="00A9331B">
            <w:pPr>
              <w:jc w:val="center"/>
            </w:pPr>
            <w:r w:rsidRPr="00FE781F">
              <w:t>5847</w:t>
            </w:r>
          </w:p>
        </w:tc>
        <w:tc>
          <w:tcPr>
            <w:tcW w:w="663" w:type="dxa"/>
            <w:shd w:val="clear" w:color="auto" w:fill="auto"/>
            <w:vAlign w:val="center"/>
            <w:hideMark/>
          </w:tcPr>
          <w:p w14:paraId="54D99305" w14:textId="77777777" w:rsidR="004D6FF3" w:rsidRPr="00FE781F" w:rsidRDefault="004D6FF3" w:rsidP="00A9331B">
            <w:pPr>
              <w:jc w:val="center"/>
            </w:pPr>
            <w:r w:rsidRPr="00FE781F">
              <w:t>4189</w:t>
            </w:r>
          </w:p>
        </w:tc>
        <w:tc>
          <w:tcPr>
            <w:tcW w:w="663" w:type="dxa"/>
            <w:shd w:val="clear" w:color="auto" w:fill="auto"/>
            <w:vAlign w:val="center"/>
            <w:hideMark/>
          </w:tcPr>
          <w:p w14:paraId="39EA1ACE" w14:textId="77777777" w:rsidR="004D6FF3" w:rsidRPr="00FE781F" w:rsidRDefault="004D6FF3" w:rsidP="00A9331B">
            <w:pPr>
              <w:jc w:val="center"/>
            </w:pPr>
            <w:r w:rsidRPr="00FE781F">
              <w:t>4184</w:t>
            </w:r>
          </w:p>
        </w:tc>
      </w:tr>
      <w:tr w:rsidR="004D6FF3" w:rsidRPr="00FE781F" w14:paraId="1E7A4F90" w14:textId="77777777" w:rsidTr="001A79B0">
        <w:trPr>
          <w:trHeight w:val="315"/>
          <w:jc w:val="center"/>
        </w:trPr>
        <w:tc>
          <w:tcPr>
            <w:tcW w:w="3060" w:type="dxa"/>
            <w:shd w:val="clear" w:color="auto" w:fill="auto"/>
            <w:vAlign w:val="center"/>
            <w:hideMark/>
          </w:tcPr>
          <w:p w14:paraId="2C61749F" w14:textId="77777777" w:rsidR="004D6FF3" w:rsidRPr="00FE781F" w:rsidRDefault="004D6FF3" w:rsidP="00A9331B">
            <w:pPr>
              <w:jc w:val="center"/>
            </w:pPr>
            <w:r w:rsidRPr="00FE781F">
              <w:t>World natural gas trade</w:t>
            </w:r>
          </w:p>
        </w:tc>
        <w:tc>
          <w:tcPr>
            <w:tcW w:w="663" w:type="dxa"/>
            <w:shd w:val="clear" w:color="auto" w:fill="auto"/>
            <w:vAlign w:val="center"/>
            <w:hideMark/>
          </w:tcPr>
          <w:p w14:paraId="40E80BA2" w14:textId="77777777" w:rsidR="004D6FF3" w:rsidRPr="00FE781F" w:rsidRDefault="004D6FF3" w:rsidP="00A9331B">
            <w:pPr>
              <w:jc w:val="center"/>
            </w:pPr>
            <w:r w:rsidRPr="00FE781F">
              <w:t>771</w:t>
            </w:r>
          </w:p>
        </w:tc>
        <w:tc>
          <w:tcPr>
            <w:tcW w:w="663" w:type="dxa"/>
            <w:shd w:val="clear" w:color="auto" w:fill="auto"/>
            <w:vAlign w:val="center"/>
            <w:hideMark/>
          </w:tcPr>
          <w:p w14:paraId="211326E3" w14:textId="77777777" w:rsidR="004D6FF3" w:rsidRPr="00FE781F" w:rsidRDefault="004D6FF3" w:rsidP="00A9331B">
            <w:pPr>
              <w:jc w:val="center"/>
            </w:pPr>
            <w:r w:rsidRPr="00FE781F">
              <w:t>1000</w:t>
            </w:r>
          </w:p>
        </w:tc>
        <w:tc>
          <w:tcPr>
            <w:tcW w:w="663" w:type="dxa"/>
            <w:shd w:val="clear" w:color="auto" w:fill="auto"/>
            <w:vAlign w:val="center"/>
            <w:hideMark/>
          </w:tcPr>
          <w:p w14:paraId="76C78E8E" w14:textId="77777777" w:rsidR="004D6FF3" w:rsidRPr="00FE781F" w:rsidRDefault="004D6FF3" w:rsidP="00A9331B">
            <w:pPr>
              <w:jc w:val="center"/>
            </w:pPr>
            <w:r w:rsidRPr="00FE781F">
              <w:t>1289</w:t>
            </w:r>
          </w:p>
        </w:tc>
        <w:tc>
          <w:tcPr>
            <w:tcW w:w="663" w:type="dxa"/>
            <w:shd w:val="clear" w:color="auto" w:fill="auto"/>
            <w:vAlign w:val="center"/>
            <w:hideMark/>
          </w:tcPr>
          <w:p w14:paraId="60B4D159" w14:textId="77777777" w:rsidR="004D6FF3" w:rsidRPr="00FE781F" w:rsidRDefault="004D6FF3" w:rsidP="00A9331B">
            <w:pPr>
              <w:jc w:val="center"/>
            </w:pPr>
            <w:r w:rsidRPr="00FE781F">
              <w:t>1019</w:t>
            </w:r>
          </w:p>
        </w:tc>
        <w:tc>
          <w:tcPr>
            <w:tcW w:w="663" w:type="dxa"/>
            <w:shd w:val="clear" w:color="auto" w:fill="auto"/>
            <w:vAlign w:val="center"/>
            <w:hideMark/>
          </w:tcPr>
          <w:p w14:paraId="13D0359A" w14:textId="77777777" w:rsidR="004D6FF3" w:rsidRPr="00FE781F" w:rsidRDefault="004D6FF3" w:rsidP="00A9331B">
            <w:pPr>
              <w:jc w:val="center"/>
            </w:pPr>
            <w:r w:rsidRPr="00FE781F">
              <w:t>1464</w:t>
            </w:r>
          </w:p>
        </w:tc>
        <w:tc>
          <w:tcPr>
            <w:tcW w:w="663" w:type="dxa"/>
            <w:shd w:val="clear" w:color="auto" w:fill="auto"/>
            <w:vAlign w:val="center"/>
            <w:hideMark/>
          </w:tcPr>
          <w:p w14:paraId="35A5087F" w14:textId="77777777" w:rsidR="004D6FF3" w:rsidRPr="00FE781F" w:rsidRDefault="004D6FF3" w:rsidP="00A9331B">
            <w:pPr>
              <w:jc w:val="center"/>
            </w:pPr>
            <w:r w:rsidRPr="00FE781F">
              <w:t>985</w:t>
            </w:r>
          </w:p>
        </w:tc>
        <w:tc>
          <w:tcPr>
            <w:tcW w:w="663" w:type="dxa"/>
            <w:shd w:val="clear" w:color="auto" w:fill="auto"/>
            <w:vAlign w:val="center"/>
            <w:hideMark/>
          </w:tcPr>
          <w:p w14:paraId="1743C8C8" w14:textId="77777777" w:rsidR="004D6FF3" w:rsidRPr="00FE781F" w:rsidRDefault="004D6FF3" w:rsidP="00A9331B">
            <w:pPr>
              <w:jc w:val="center"/>
            </w:pPr>
            <w:r w:rsidRPr="00FE781F">
              <w:t>1080</w:t>
            </w:r>
          </w:p>
        </w:tc>
      </w:tr>
      <w:tr w:rsidR="004D6FF3" w:rsidRPr="00FE781F" w14:paraId="6F8D04FA" w14:textId="77777777" w:rsidTr="001A79B0">
        <w:trPr>
          <w:trHeight w:val="315"/>
          <w:jc w:val="center"/>
        </w:trPr>
        <w:tc>
          <w:tcPr>
            <w:tcW w:w="3060" w:type="dxa"/>
            <w:shd w:val="clear" w:color="auto" w:fill="auto"/>
            <w:vAlign w:val="center"/>
            <w:hideMark/>
          </w:tcPr>
          <w:p w14:paraId="554B15E9" w14:textId="77777777" w:rsidR="004D6FF3" w:rsidRPr="00FE781F" w:rsidRDefault="004D6FF3" w:rsidP="00A9331B">
            <w:pPr>
              <w:jc w:val="center"/>
            </w:pPr>
            <w:r w:rsidRPr="00FE781F">
              <w:t>Share of trade %</w:t>
            </w:r>
          </w:p>
        </w:tc>
        <w:tc>
          <w:tcPr>
            <w:tcW w:w="663" w:type="dxa"/>
            <w:shd w:val="clear" w:color="auto" w:fill="auto"/>
            <w:vAlign w:val="center"/>
            <w:hideMark/>
          </w:tcPr>
          <w:p w14:paraId="272253E6" w14:textId="77777777" w:rsidR="004D6FF3" w:rsidRPr="00FE781F" w:rsidRDefault="004D6FF3" w:rsidP="00A9331B">
            <w:pPr>
              <w:jc w:val="center"/>
            </w:pPr>
            <w:r w:rsidRPr="00FE781F">
              <w:t>20</w:t>
            </w:r>
          </w:p>
        </w:tc>
        <w:tc>
          <w:tcPr>
            <w:tcW w:w="663" w:type="dxa"/>
            <w:shd w:val="clear" w:color="auto" w:fill="auto"/>
            <w:vAlign w:val="center"/>
            <w:hideMark/>
          </w:tcPr>
          <w:p w14:paraId="6AF95AF2" w14:textId="77777777" w:rsidR="004D6FF3" w:rsidRPr="00FE781F" w:rsidRDefault="004D6FF3" w:rsidP="00A9331B">
            <w:pPr>
              <w:jc w:val="center"/>
            </w:pPr>
            <w:r w:rsidRPr="00FE781F">
              <w:t>23</w:t>
            </w:r>
          </w:p>
        </w:tc>
        <w:tc>
          <w:tcPr>
            <w:tcW w:w="663" w:type="dxa"/>
            <w:shd w:val="clear" w:color="auto" w:fill="auto"/>
            <w:vAlign w:val="center"/>
            <w:hideMark/>
          </w:tcPr>
          <w:p w14:paraId="7B22DF2F" w14:textId="77777777" w:rsidR="004D6FF3" w:rsidRPr="00FE781F" w:rsidRDefault="004D6FF3" w:rsidP="00A9331B">
            <w:pPr>
              <w:jc w:val="center"/>
            </w:pPr>
            <w:r w:rsidRPr="00FE781F">
              <w:t>24</w:t>
            </w:r>
          </w:p>
        </w:tc>
        <w:tc>
          <w:tcPr>
            <w:tcW w:w="663" w:type="dxa"/>
            <w:shd w:val="clear" w:color="auto" w:fill="auto"/>
            <w:vAlign w:val="center"/>
            <w:hideMark/>
          </w:tcPr>
          <w:p w14:paraId="03D91639" w14:textId="77777777" w:rsidR="004D6FF3" w:rsidRPr="00FE781F" w:rsidRDefault="004D6FF3" w:rsidP="00A9331B">
            <w:pPr>
              <w:jc w:val="center"/>
            </w:pPr>
            <w:r w:rsidRPr="00FE781F">
              <w:t>23</w:t>
            </w:r>
          </w:p>
        </w:tc>
        <w:tc>
          <w:tcPr>
            <w:tcW w:w="663" w:type="dxa"/>
            <w:shd w:val="clear" w:color="auto" w:fill="auto"/>
            <w:vAlign w:val="center"/>
            <w:hideMark/>
          </w:tcPr>
          <w:p w14:paraId="3A363DD5" w14:textId="77777777" w:rsidR="004D6FF3" w:rsidRPr="00FE781F" w:rsidRDefault="004D6FF3" w:rsidP="00A9331B">
            <w:pPr>
              <w:jc w:val="center"/>
            </w:pPr>
            <w:r w:rsidRPr="00FE781F">
              <w:t>25</w:t>
            </w:r>
          </w:p>
        </w:tc>
        <w:tc>
          <w:tcPr>
            <w:tcW w:w="663" w:type="dxa"/>
            <w:shd w:val="clear" w:color="auto" w:fill="auto"/>
            <w:vAlign w:val="center"/>
            <w:hideMark/>
          </w:tcPr>
          <w:p w14:paraId="4DEEE5E6" w14:textId="77777777" w:rsidR="004D6FF3" w:rsidRPr="00FE781F" w:rsidRDefault="004D6FF3" w:rsidP="00A9331B">
            <w:pPr>
              <w:jc w:val="center"/>
            </w:pPr>
            <w:r w:rsidRPr="00FE781F">
              <w:t>24</w:t>
            </w:r>
          </w:p>
        </w:tc>
        <w:tc>
          <w:tcPr>
            <w:tcW w:w="663" w:type="dxa"/>
            <w:shd w:val="clear" w:color="auto" w:fill="auto"/>
            <w:vAlign w:val="center"/>
            <w:hideMark/>
          </w:tcPr>
          <w:p w14:paraId="60F69A5E" w14:textId="77777777" w:rsidR="004D6FF3" w:rsidRPr="00FE781F" w:rsidRDefault="004D6FF3" w:rsidP="00A9331B">
            <w:pPr>
              <w:jc w:val="center"/>
            </w:pPr>
            <w:r w:rsidRPr="00FE781F">
              <w:t>26</w:t>
            </w:r>
          </w:p>
        </w:tc>
      </w:tr>
      <w:tr w:rsidR="004D6FF3" w:rsidRPr="00FE781F" w14:paraId="7C2F6645" w14:textId="77777777" w:rsidTr="001A79B0">
        <w:trPr>
          <w:trHeight w:val="315"/>
          <w:jc w:val="center"/>
        </w:trPr>
        <w:tc>
          <w:tcPr>
            <w:tcW w:w="3060" w:type="dxa"/>
            <w:shd w:val="clear" w:color="auto" w:fill="auto"/>
            <w:vAlign w:val="center"/>
            <w:hideMark/>
          </w:tcPr>
          <w:p w14:paraId="1004DC31" w14:textId="77777777" w:rsidR="004D6FF3" w:rsidRPr="00FE781F" w:rsidRDefault="004D6FF3" w:rsidP="00A9331B">
            <w:pPr>
              <w:jc w:val="center"/>
            </w:pPr>
            <w:r w:rsidRPr="00FE781F">
              <w:t>Pipeline</w:t>
            </w:r>
          </w:p>
        </w:tc>
        <w:tc>
          <w:tcPr>
            <w:tcW w:w="663" w:type="dxa"/>
            <w:shd w:val="clear" w:color="auto" w:fill="auto"/>
            <w:vAlign w:val="center"/>
            <w:hideMark/>
          </w:tcPr>
          <w:p w14:paraId="383B7C1B" w14:textId="77777777" w:rsidR="004D6FF3" w:rsidRPr="00FE781F" w:rsidRDefault="004D6FF3" w:rsidP="00A9331B">
            <w:pPr>
              <w:jc w:val="center"/>
            </w:pPr>
            <w:r w:rsidRPr="00FE781F">
              <w:t>447</w:t>
            </w:r>
          </w:p>
        </w:tc>
        <w:tc>
          <w:tcPr>
            <w:tcW w:w="663" w:type="dxa"/>
            <w:shd w:val="clear" w:color="auto" w:fill="auto"/>
            <w:vAlign w:val="center"/>
            <w:hideMark/>
          </w:tcPr>
          <w:p w14:paraId="5D14E475" w14:textId="77777777" w:rsidR="004D6FF3" w:rsidRPr="00FE781F" w:rsidRDefault="004D6FF3" w:rsidP="00A9331B">
            <w:pPr>
              <w:jc w:val="center"/>
            </w:pPr>
            <w:r w:rsidRPr="00FE781F">
              <w:t>491</w:t>
            </w:r>
          </w:p>
        </w:tc>
        <w:tc>
          <w:tcPr>
            <w:tcW w:w="663" w:type="dxa"/>
            <w:shd w:val="clear" w:color="auto" w:fill="auto"/>
            <w:vAlign w:val="center"/>
            <w:hideMark/>
          </w:tcPr>
          <w:p w14:paraId="058D55BE" w14:textId="77777777" w:rsidR="004D6FF3" w:rsidRPr="00FE781F" w:rsidRDefault="004D6FF3" w:rsidP="00A9331B">
            <w:pPr>
              <w:jc w:val="center"/>
            </w:pPr>
            <w:r w:rsidRPr="00FE781F">
              <w:t>532</w:t>
            </w:r>
          </w:p>
        </w:tc>
        <w:tc>
          <w:tcPr>
            <w:tcW w:w="663" w:type="dxa"/>
            <w:shd w:val="clear" w:color="auto" w:fill="auto"/>
            <w:vAlign w:val="center"/>
            <w:hideMark/>
          </w:tcPr>
          <w:p w14:paraId="1A1F0975" w14:textId="77777777" w:rsidR="004D6FF3" w:rsidRPr="00FE781F" w:rsidRDefault="004D6FF3" w:rsidP="00A9331B">
            <w:pPr>
              <w:jc w:val="center"/>
            </w:pPr>
            <w:r w:rsidRPr="00FE781F">
              <w:t>500</w:t>
            </w:r>
          </w:p>
        </w:tc>
        <w:tc>
          <w:tcPr>
            <w:tcW w:w="663" w:type="dxa"/>
            <w:shd w:val="clear" w:color="auto" w:fill="auto"/>
            <w:vAlign w:val="center"/>
            <w:hideMark/>
          </w:tcPr>
          <w:p w14:paraId="33BA8028" w14:textId="77777777" w:rsidR="004D6FF3" w:rsidRPr="00FE781F" w:rsidRDefault="004D6FF3" w:rsidP="00A9331B">
            <w:pPr>
              <w:jc w:val="center"/>
            </w:pPr>
            <w:r w:rsidRPr="00FE781F">
              <w:t>657</w:t>
            </w:r>
          </w:p>
        </w:tc>
        <w:tc>
          <w:tcPr>
            <w:tcW w:w="663" w:type="dxa"/>
            <w:shd w:val="clear" w:color="auto" w:fill="auto"/>
            <w:vAlign w:val="center"/>
            <w:hideMark/>
          </w:tcPr>
          <w:p w14:paraId="14D35048" w14:textId="77777777" w:rsidR="004D6FF3" w:rsidRPr="00FE781F" w:rsidRDefault="004D6FF3" w:rsidP="00A9331B">
            <w:pPr>
              <w:jc w:val="center"/>
            </w:pPr>
            <w:r w:rsidRPr="00FE781F">
              <w:t>458</w:t>
            </w:r>
          </w:p>
        </w:tc>
        <w:tc>
          <w:tcPr>
            <w:tcW w:w="663" w:type="dxa"/>
            <w:shd w:val="clear" w:color="auto" w:fill="auto"/>
            <w:vAlign w:val="center"/>
            <w:hideMark/>
          </w:tcPr>
          <w:p w14:paraId="09BB9428" w14:textId="77777777" w:rsidR="004D6FF3" w:rsidRPr="00FE781F" w:rsidRDefault="004D6FF3" w:rsidP="00A9331B">
            <w:pPr>
              <w:jc w:val="center"/>
            </w:pPr>
            <w:r w:rsidRPr="00FE781F">
              <w:t>452</w:t>
            </w:r>
          </w:p>
        </w:tc>
      </w:tr>
      <w:tr w:rsidR="004D6FF3" w:rsidRPr="00FE781F" w14:paraId="061A16DF" w14:textId="77777777" w:rsidTr="001A79B0">
        <w:trPr>
          <w:trHeight w:val="315"/>
          <w:jc w:val="center"/>
        </w:trPr>
        <w:tc>
          <w:tcPr>
            <w:tcW w:w="3060" w:type="dxa"/>
            <w:shd w:val="clear" w:color="auto" w:fill="auto"/>
            <w:vAlign w:val="center"/>
            <w:hideMark/>
          </w:tcPr>
          <w:p w14:paraId="4173578F" w14:textId="77777777" w:rsidR="004D6FF3" w:rsidRPr="00FE781F" w:rsidRDefault="004D6FF3" w:rsidP="00A9331B">
            <w:pPr>
              <w:jc w:val="center"/>
            </w:pPr>
            <w:r w:rsidRPr="00FE781F">
              <w:t>LNG</w:t>
            </w:r>
          </w:p>
        </w:tc>
        <w:tc>
          <w:tcPr>
            <w:tcW w:w="663" w:type="dxa"/>
            <w:shd w:val="clear" w:color="auto" w:fill="auto"/>
            <w:vAlign w:val="center"/>
            <w:hideMark/>
          </w:tcPr>
          <w:p w14:paraId="7E584F0E" w14:textId="77777777" w:rsidR="004D6FF3" w:rsidRPr="00FE781F" w:rsidRDefault="004D6FF3" w:rsidP="00A9331B">
            <w:pPr>
              <w:jc w:val="center"/>
            </w:pPr>
            <w:r w:rsidRPr="00FE781F">
              <w:t>323</w:t>
            </w:r>
          </w:p>
        </w:tc>
        <w:tc>
          <w:tcPr>
            <w:tcW w:w="663" w:type="dxa"/>
            <w:shd w:val="clear" w:color="auto" w:fill="auto"/>
            <w:vAlign w:val="center"/>
            <w:hideMark/>
          </w:tcPr>
          <w:p w14:paraId="1CDDC8D8" w14:textId="77777777" w:rsidR="004D6FF3" w:rsidRPr="00FE781F" w:rsidRDefault="004D6FF3" w:rsidP="00A9331B">
            <w:pPr>
              <w:jc w:val="center"/>
            </w:pPr>
            <w:r w:rsidRPr="00FE781F">
              <w:t>509</w:t>
            </w:r>
          </w:p>
        </w:tc>
        <w:tc>
          <w:tcPr>
            <w:tcW w:w="663" w:type="dxa"/>
            <w:shd w:val="clear" w:color="auto" w:fill="auto"/>
            <w:vAlign w:val="center"/>
            <w:hideMark/>
          </w:tcPr>
          <w:p w14:paraId="036ED61F" w14:textId="77777777" w:rsidR="004D6FF3" w:rsidRPr="00FE781F" w:rsidRDefault="004D6FF3" w:rsidP="00A9331B">
            <w:pPr>
              <w:jc w:val="center"/>
            </w:pPr>
            <w:r w:rsidRPr="00FE781F">
              <w:t>757</w:t>
            </w:r>
          </w:p>
        </w:tc>
        <w:tc>
          <w:tcPr>
            <w:tcW w:w="663" w:type="dxa"/>
            <w:shd w:val="clear" w:color="auto" w:fill="auto"/>
            <w:vAlign w:val="center"/>
            <w:hideMark/>
          </w:tcPr>
          <w:p w14:paraId="4E1919F5" w14:textId="77777777" w:rsidR="004D6FF3" w:rsidRPr="00FE781F" w:rsidRDefault="004D6FF3" w:rsidP="00A9331B">
            <w:pPr>
              <w:jc w:val="center"/>
            </w:pPr>
            <w:r w:rsidRPr="00FE781F">
              <w:t>518</w:t>
            </w:r>
          </w:p>
        </w:tc>
        <w:tc>
          <w:tcPr>
            <w:tcW w:w="663" w:type="dxa"/>
            <w:shd w:val="clear" w:color="auto" w:fill="auto"/>
            <w:vAlign w:val="center"/>
            <w:hideMark/>
          </w:tcPr>
          <w:p w14:paraId="3405BCC6" w14:textId="77777777" w:rsidR="004D6FF3" w:rsidRPr="00FE781F" w:rsidRDefault="004D6FF3" w:rsidP="00A9331B">
            <w:pPr>
              <w:jc w:val="center"/>
            </w:pPr>
            <w:r w:rsidRPr="00FE781F">
              <w:t>807</w:t>
            </w:r>
          </w:p>
        </w:tc>
        <w:tc>
          <w:tcPr>
            <w:tcW w:w="663" w:type="dxa"/>
            <w:shd w:val="clear" w:color="auto" w:fill="auto"/>
            <w:vAlign w:val="center"/>
            <w:hideMark/>
          </w:tcPr>
          <w:p w14:paraId="5B27B991" w14:textId="77777777" w:rsidR="004D6FF3" w:rsidRPr="00FE781F" w:rsidRDefault="004D6FF3" w:rsidP="00A9331B">
            <w:pPr>
              <w:jc w:val="center"/>
            </w:pPr>
            <w:r w:rsidRPr="00FE781F">
              <w:t>527</w:t>
            </w:r>
          </w:p>
        </w:tc>
        <w:tc>
          <w:tcPr>
            <w:tcW w:w="663" w:type="dxa"/>
            <w:shd w:val="clear" w:color="auto" w:fill="auto"/>
            <w:vAlign w:val="center"/>
            <w:hideMark/>
          </w:tcPr>
          <w:p w14:paraId="1E06CE03" w14:textId="77777777" w:rsidR="004D6FF3" w:rsidRPr="00FE781F" w:rsidRDefault="004D6FF3" w:rsidP="00A9331B">
            <w:pPr>
              <w:jc w:val="center"/>
            </w:pPr>
            <w:r w:rsidRPr="00FE781F">
              <w:t>627</w:t>
            </w:r>
          </w:p>
        </w:tc>
      </w:tr>
      <w:tr w:rsidR="001A79B0" w:rsidRPr="00FE781F" w14:paraId="7C9A2365" w14:textId="77777777" w:rsidTr="001A79B0">
        <w:trPr>
          <w:trHeight w:val="315"/>
          <w:jc w:val="center"/>
        </w:trPr>
        <w:tc>
          <w:tcPr>
            <w:tcW w:w="3060" w:type="dxa"/>
            <w:shd w:val="clear" w:color="auto" w:fill="auto"/>
            <w:vAlign w:val="center"/>
          </w:tcPr>
          <w:p w14:paraId="0B5B5E4B" w14:textId="7908B2D2" w:rsidR="001A79B0" w:rsidRPr="00FE781F" w:rsidRDefault="001A79B0" w:rsidP="00A9331B">
            <w:pPr>
              <w:jc w:val="center"/>
            </w:pPr>
            <w:r>
              <w:t xml:space="preserve">Japan price </w:t>
            </w:r>
            <w:r w:rsidRPr="00FE781F">
              <w:t>($2017/</w:t>
            </w:r>
            <w:proofErr w:type="spellStart"/>
            <w:r w:rsidRPr="00FE781F">
              <w:t>MBtu</w:t>
            </w:r>
            <w:proofErr w:type="spellEnd"/>
            <w:r w:rsidRPr="00FE781F">
              <w:t>)</w:t>
            </w:r>
          </w:p>
        </w:tc>
        <w:tc>
          <w:tcPr>
            <w:tcW w:w="663" w:type="dxa"/>
            <w:shd w:val="clear" w:color="auto" w:fill="auto"/>
            <w:vAlign w:val="center"/>
          </w:tcPr>
          <w:p w14:paraId="4B3D1ED0" w14:textId="748980F7" w:rsidR="001A79B0" w:rsidRPr="00FE781F" w:rsidRDefault="001A79B0" w:rsidP="006820FC">
            <w:pPr>
              <w:jc w:val="center"/>
            </w:pPr>
            <w:r>
              <w:t>8.1</w:t>
            </w:r>
          </w:p>
        </w:tc>
        <w:tc>
          <w:tcPr>
            <w:tcW w:w="663" w:type="dxa"/>
            <w:shd w:val="clear" w:color="auto" w:fill="auto"/>
            <w:vAlign w:val="center"/>
          </w:tcPr>
          <w:p w14:paraId="02D3FAEA" w14:textId="6A466107" w:rsidR="001A79B0" w:rsidRPr="00FE781F" w:rsidRDefault="001A79B0" w:rsidP="00A9331B">
            <w:pPr>
              <w:jc w:val="center"/>
            </w:pPr>
            <w:r>
              <w:t>9.8</w:t>
            </w:r>
          </w:p>
        </w:tc>
        <w:tc>
          <w:tcPr>
            <w:tcW w:w="663" w:type="dxa"/>
            <w:shd w:val="clear" w:color="auto" w:fill="auto"/>
            <w:vAlign w:val="center"/>
          </w:tcPr>
          <w:p w14:paraId="194DA552" w14:textId="12AD577D" w:rsidR="001A79B0" w:rsidRPr="00FE781F" w:rsidRDefault="001A79B0" w:rsidP="00A9331B">
            <w:pPr>
              <w:jc w:val="center"/>
            </w:pPr>
            <w:r>
              <w:t>10.1</w:t>
            </w:r>
          </w:p>
        </w:tc>
        <w:tc>
          <w:tcPr>
            <w:tcW w:w="663" w:type="dxa"/>
            <w:shd w:val="clear" w:color="auto" w:fill="auto"/>
            <w:vAlign w:val="center"/>
          </w:tcPr>
          <w:p w14:paraId="52CC0B1D" w14:textId="49DB225F" w:rsidR="001A79B0" w:rsidRPr="00FE781F" w:rsidRDefault="001A79B0" w:rsidP="00A9331B">
            <w:pPr>
              <w:jc w:val="center"/>
            </w:pPr>
            <w:r>
              <w:t>9.9</w:t>
            </w:r>
          </w:p>
        </w:tc>
        <w:tc>
          <w:tcPr>
            <w:tcW w:w="663" w:type="dxa"/>
            <w:shd w:val="clear" w:color="auto" w:fill="auto"/>
            <w:vAlign w:val="center"/>
          </w:tcPr>
          <w:p w14:paraId="78D33D96" w14:textId="06463D13" w:rsidR="001A79B0" w:rsidRPr="00FE781F" w:rsidRDefault="001A79B0" w:rsidP="00A9331B">
            <w:pPr>
              <w:jc w:val="center"/>
            </w:pPr>
            <w:r>
              <w:t>10.5</w:t>
            </w:r>
          </w:p>
        </w:tc>
        <w:tc>
          <w:tcPr>
            <w:tcW w:w="663" w:type="dxa"/>
            <w:shd w:val="clear" w:color="auto" w:fill="auto"/>
            <w:vAlign w:val="center"/>
          </w:tcPr>
          <w:p w14:paraId="5AEE8C77" w14:textId="5CA2DA11" w:rsidR="001A79B0" w:rsidRPr="00FE781F" w:rsidRDefault="001A79B0" w:rsidP="00A9331B">
            <w:pPr>
              <w:jc w:val="center"/>
            </w:pPr>
            <w:r>
              <w:t>9.0</w:t>
            </w:r>
          </w:p>
        </w:tc>
        <w:tc>
          <w:tcPr>
            <w:tcW w:w="663" w:type="dxa"/>
            <w:shd w:val="clear" w:color="auto" w:fill="auto"/>
            <w:vAlign w:val="center"/>
          </w:tcPr>
          <w:p w14:paraId="0C8F9D81" w14:textId="0028DEE9" w:rsidR="001A79B0" w:rsidRPr="00FE781F" w:rsidRDefault="001A79B0" w:rsidP="00A9331B">
            <w:pPr>
              <w:jc w:val="center"/>
            </w:pPr>
            <w:r>
              <w:t>8.8</w:t>
            </w:r>
          </w:p>
        </w:tc>
      </w:tr>
      <w:tr w:rsidR="001A79B0" w:rsidRPr="00FE781F" w14:paraId="2A9BD1BA" w14:textId="77777777" w:rsidTr="001A79B0">
        <w:trPr>
          <w:trHeight w:val="315"/>
          <w:jc w:val="center"/>
        </w:trPr>
        <w:tc>
          <w:tcPr>
            <w:tcW w:w="3060" w:type="dxa"/>
            <w:shd w:val="clear" w:color="auto" w:fill="auto"/>
            <w:vAlign w:val="center"/>
          </w:tcPr>
          <w:p w14:paraId="74133DED" w14:textId="740F7998" w:rsidR="001A79B0" w:rsidRPr="00FE781F" w:rsidRDefault="001A79B0" w:rsidP="00A9331B">
            <w:pPr>
              <w:jc w:val="center"/>
            </w:pPr>
            <w:r>
              <w:t xml:space="preserve">EU price </w:t>
            </w:r>
            <w:r w:rsidRPr="00FE781F">
              <w:t>($2017/</w:t>
            </w:r>
            <w:proofErr w:type="spellStart"/>
            <w:r w:rsidRPr="00FE781F">
              <w:t>MBtu</w:t>
            </w:r>
            <w:proofErr w:type="spellEnd"/>
            <w:r w:rsidRPr="00FE781F">
              <w:t>)</w:t>
            </w:r>
          </w:p>
        </w:tc>
        <w:tc>
          <w:tcPr>
            <w:tcW w:w="663" w:type="dxa"/>
            <w:shd w:val="clear" w:color="auto" w:fill="auto"/>
            <w:vAlign w:val="center"/>
          </w:tcPr>
          <w:p w14:paraId="213BAF66" w14:textId="22A57FF6" w:rsidR="001A79B0" w:rsidRPr="00FE781F" w:rsidRDefault="001A79B0" w:rsidP="006820FC">
            <w:pPr>
              <w:jc w:val="center"/>
            </w:pPr>
            <w:r>
              <w:t>5.8</w:t>
            </w:r>
          </w:p>
        </w:tc>
        <w:tc>
          <w:tcPr>
            <w:tcW w:w="663" w:type="dxa"/>
            <w:shd w:val="clear" w:color="auto" w:fill="auto"/>
            <w:vAlign w:val="center"/>
          </w:tcPr>
          <w:p w14:paraId="09C4B11A" w14:textId="37808D4F" w:rsidR="001A79B0" w:rsidRPr="00FE781F" w:rsidRDefault="001A79B0" w:rsidP="00A9331B">
            <w:pPr>
              <w:jc w:val="center"/>
            </w:pPr>
            <w:r>
              <w:t>7.8</w:t>
            </w:r>
          </w:p>
        </w:tc>
        <w:tc>
          <w:tcPr>
            <w:tcW w:w="663" w:type="dxa"/>
            <w:shd w:val="clear" w:color="auto" w:fill="auto"/>
            <w:vAlign w:val="center"/>
          </w:tcPr>
          <w:p w14:paraId="59CAEC24" w14:textId="4F853131" w:rsidR="001A79B0" w:rsidRPr="00FE781F" w:rsidRDefault="001A79B0" w:rsidP="00A9331B">
            <w:pPr>
              <w:jc w:val="center"/>
            </w:pPr>
            <w:r>
              <w:t>9.0</w:t>
            </w:r>
          </w:p>
        </w:tc>
        <w:tc>
          <w:tcPr>
            <w:tcW w:w="663" w:type="dxa"/>
            <w:shd w:val="clear" w:color="auto" w:fill="auto"/>
            <w:vAlign w:val="center"/>
          </w:tcPr>
          <w:p w14:paraId="58D1F5AC" w14:textId="51276E83" w:rsidR="001A79B0" w:rsidRPr="00FE781F" w:rsidRDefault="001A79B0" w:rsidP="00A9331B">
            <w:pPr>
              <w:jc w:val="center"/>
            </w:pPr>
            <w:r>
              <w:t>7.9</w:t>
            </w:r>
          </w:p>
        </w:tc>
        <w:tc>
          <w:tcPr>
            <w:tcW w:w="663" w:type="dxa"/>
            <w:shd w:val="clear" w:color="auto" w:fill="auto"/>
            <w:vAlign w:val="center"/>
          </w:tcPr>
          <w:p w14:paraId="09CAA419" w14:textId="3F9A44F9" w:rsidR="001A79B0" w:rsidRPr="00FE781F" w:rsidRDefault="001A79B0" w:rsidP="00A9331B">
            <w:pPr>
              <w:jc w:val="center"/>
            </w:pPr>
            <w:r>
              <w:t>9.4</w:t>
            </w:r>
          </w:p>
        </w:tc>
        <w:tc>
          <w:tcPr>
            <w:tcW w:w="663" w:type="dxa"/>
            <w:shd w:val="clear" w:color="auto" w:fill="auto"/>
            <w:vAlign w:val="center"/>
          </w:tcPr>
          <w:p w14:paraId="3E061A0A" w14:textId="4D7C0BCE" w:rsidR="001A79B0" w:rsidRPr="00FE781F" w:rsidRDefault="001A79B0" w:rsidP="00A9331B">
            <w:pPr>
              <w:jc w:val="center"/>
            </w:pPr>
            <w:r>
              <w:t>7.5</w:t>
            </w:r>
          </w:p>
        </w:tc>
        <w:tc>
          <w:tcPr>
            <w:tcW w:w="663" w:type="dxa"/>
            <w:shd w:val="clear" w:color="auto" w:fill="auto"/>
            <w:vAlign w:val="center"/>
          </w:tcPr>
          <w:p w14:paraId="0B21CC00" w14:textId="37B0F332" w:rsidR="001A79B0" w:rsidRPr="00FE781F" w:rsidRDefault="001A79B0" w:rsidP="00A9331B">
            <w:pPr>
              <w:jc w:val="center"/>
            </w:pPr>
            <w:r>
              <w:t>7.7</w:t>
            </w:r>
          </w:p>
        </w:tc>
      </w:tr>
      <w:tr w:rsidR="004D6FF3" w:rsidRPr="00FE781F" w14:paraId="64888E8A" w14:textId="77777777" w:rsidTr="001A79B0">
        <w:trPr>
          <w:trHeight w:val="315"/>
          <w:jc w:val="center"/>
        </w:trPr>
        <w:tc>
          <w:tcPr>
            <w:tcW w:w="3060" w:type="dxa"/>
            <w:shd w:val="clear" w:color="auto" w:fill="auto"/>
            <w:vAlign w:val="center"/>
            <w:hideMark/>
          </w:tcPr>
          <w:p w14:paraId="31EC0AF5" w14:textId="77777777" w:rsidR="004D6FF3" w:rsidRPr="00FE781F" w:rsidRDefault="004D6FF3" w:rsidP="00A9331B">
            <w:pPr>
              <w:jc w:val="center"/>
            </w:pPr>
            <w:r w:rsidRPr="00FE781F">
              <w:t>Henry Hub price ($2017/</w:t>
            </w:r>
            <w:proofErr w:type="spellStart"/>
            <w:r w:rsidRPr="00FE781F">
              <w:t>MBtu</w:t>
            </w:r>
            <w:proofErr w:type="spellEnd"/>
            <w:r w:rsidRPr="00FE781F">
              <w:t>)</w:t>
            </w:r>
          </w:p>
        </w:tc>
        <w:tc>
          <w:tcPr>
            <w:tcW w:w="663" w:type="dxa"/>
            <w:shd w:val="clear" w:color="auto" w:fill="auto"/>
            <w:vAlign w:val="center"/>
            <w:hideMark/>
          </w:tcPr>
          <w:p w14:paraId="3F25699B" w14:textId="0EC45D2A" w:rsidR="004D6FF3" w:rsidRPr="00FE781F" w:rsidRDefault="004D6FF3" w:rsidP="006820FC">
            <w:pPr>
              <w:jc w:val="center"/>
            </w:pPr>
            <w:r w:rsidRPr="00FE781F">
              <w:t>3</w:t>
            </w:r>
            <w:r w:rsidR="006820FC">
              <w:t>.0</w:t>
            </w:r>
          </w:p>
        </w:tc>
        <w:tc>
          <w:tcPr>
            <w:tcW w:w="663" w:type="dxa"/>
            <w:shd w:val="clear" w:color="auto" w:fill="auto"/>
            <w:vAlign w:val="center"/>
            <w:hideMark/>
          </w:tcPr>
          <w:p w14:paraId="19512299" w14:textId="77777777" w:rsidR="004D6FF3" w:rsidRPr="00FE781F" w:rsidRDefault="004D6FF3" w:rsidP="00A9331B">
            <w:pPr>
              <w:jc w:val="center"/>
            </w:pPr>
            <w:r w:rsidRPr="00FE781F">
              <w:t>3.3</w:t>
            </w:r>
          </w:p>
        </w:tc>
        <w:tc>
          <w:tcPr>
            <w:tcW w:w="663" w:type="dxa"/>
            <w:shd w:val="clear" w:color="auto" w:fill="auto"/>
            <w:vAlign w:val="center"/>
            <w:hideMark/>
          </w:tcPr>
          <w:p w14:paraId="58A8FF67" w14:textId="77777777" w:rsidR="004D6FF3" w:rsidRPr="00FE781F" w:rsidRDefault="004D6FF3" w:rsidP="00A9331B">
            <w:pPr>
              <w:jc w:val="center"/>
            </w:pPr>
            <w:r w:rsidRPr="00FE781F">
              <w:t>4.9</w:t>
            </w:r>
          </w:p>
        </w:tc>
        <w:tc>
          <w:tcPr>
            <w:tcW w:w="663" w:type="dxa"/>
            <w:shd w:val="clear" w:color="auto" w:fill="auto"/>
            <w:vAlign w:val="center"/>
            <w:hideMark/>
          </w:tcPr>
          <w:p w14:paraId="665AF89E" w14:textId="77777777" w:rsidR="004D6FF3" w:rsidRPr="00FE781F" w:rsidRDefault="004D6FF3" w:rsidP="00A9331B">
            <w:pPr>
              <w:jc w:val="center"/>
            </w:pPr>
            <w:r w:rsidRPr="00FE781F">
              <w:t>3.4</w:t>
            </w:r>
          </w:p>
        </w:tc>
        <w:tc>
          <w:tcPr>
            <w:tcW w:w="663" w:type="dxa"/>
            <w:shd w:val="clear" w:color="auto" w:fill="auto"/>
            <w:vAlign w:val="center"/>
            <w:hideMark/>
          </w:tcPr>
          <w:p w14:paraId="4B00BC4F" w14:textId="77777777" w:rsidR="004D6FF3" w:rsidRPr="00FE781F" w:rsidRDefault="004D6FF3" w:rsidP="00A9331B">
            <w:pPr>
              <w:jc w:val="center"/>
            </w:pPr>
            <w:r w:rsidRPr="00FE781F">
              <w:t>5.3</w:t>
            </w:r>
          </w:p>
        </w:tc>
        <w:tc>
          <w:tcPr>
            <w:tcW w:w="663" w:type="dxa"/>
            <w:shd w:val="clear" w:color="auto" w:fill="auto"/>
            <w:vAlign w:val="center"/>
            <w:hideMark/>
          </w:tcPr>
          <w:p w14:paraId="764506A7" w14:textId="77777777" w:rsidR="004D6FF3" w:rsidRPr="00FE781F" w:rsidRDefault="004D6FF3" w:rsidP="00A9331B">
            <w:pPr>
              <w:jc w:val="center"/>
            </w:pPr>
            <w:r w:rsidRPr="00FE781F">
              <w:t>3.3</w:t>
            </w:r>
          </w:p>
        </w:tc>
        <w:tc>
          <w:tcPr>
            <w:tcW w:w="663" w:type="dxa"/>
            <w:shd w:val="clear" w:color="auto" w:fill="auto"/>
            <w:vAlign w:val="center"/>
            <w:hideMark/>
          </w:tcPr>
          <w:p w14:paraId="511D1A58" w14:textId="77777777" w:rsidR="004D6FF3" w:rsidRPr="00FE781F" w:rsidRDefault="004D6FF3" w:rsidP="00A9331B">
            <w:pPr>
              <w:jc w:val="center"/>
            </w:pPr>
            <w:r w:rsidRPr="00FE781F">
              <w:t>3.6</w:t>
            </w:r>
          </w:p>
        </w:tc>
      </w:tr>
    </w:tbl>
    <w:p w14:paraId="76F7120A" w14:textId="1B301D66" w:rsidR="00FD694C" w:rsidRPr="006C5FBC" w:rsidRDefault="006A0D21" w:rsidP="006C5FBC">
      <w:pPr>
        <w:pStyle w:val="Caption"/>
        <w:spacing w:after="160"/>
        <w:contextualSpacing/>
        <w:rPr>
          <w:rFonts w:ascii="Calibri Light" w:eastAsia="Calibri" w:hAnsi="Calibri Light" w:cs="Arial"/>
          <w:sz w:val="16"/>
          <w:szCs w:val="16"/>
          <w:lang w:val="en-AU" w:eastAsia="ja-JP"/>
        </w:rPr>
      </w:pPr>
      <w:r w:rsidRPr="006C5FBC">
        <w:rPr>
          <w:rFonts w:ascii="Calibri Light" w:eastAsia="Calibri" w:hAnsi="Calibri Light" w:cs="Arial"/>
          <w:sz w:val="16"/>
          <w:szCs w:val="16"/>
          <w:lang w:val="en-AU" w:eastAsia="ja-JP"/>
        </w:rPr>
        <w:t>Source: IEA WEO 2018</w:t>
      </w:r>
    </w:p>
    <w:p w14:paraId="52DD68F3" w14:textId="4BB82AEB" w:rsidR="00005274" w:rsidRDefault="00C85A74" w:rsidP="00005274">
      <w:pPr>
        <w:jc w:val="lowKashida"/>
      </w:pPr>
      <w:r w:rsidRPr="00005274">
        <w:t xml:space="preserve">The </w:t>
      </w:r>
      <w:r w:rsidRPr="00C85A74">
        <w:rPr>
          <w:b/>
        </w:rPr>
        <w:t>Wood Mackenzie</w:t>
      </w:r>
      <w:r>
        <w:t>’s</w:t>
      </w:r>
      <w:r w:rsidRPr="00005274">
        <w:t xml:space="preserve"> </w:t>
      </w:r>
      <w:r w:rsidR="00005274" w:rsidRPr="00005274">
        <w:t xml:space="preserve">H2 2018 Global Gas Service highlights that </w:t>
      </w:r>
      <w:r w:rsidR="00EE37B5">
        <w:t xml:space="preserve">in 2018, 20 </w:t>
      </w:r>
      <w:proofErr w:type="spellStart"/>
      <w:r w:rsidR="00EE37B5">
        <w:t>m</w:t>
      </w:r>
      <w:r w:rsidR="00005274">
        <w:t>tpa</w:t>
      </w:r>
      <w:proofErr w:type="spellEnd"/>
      <w:r w:rsidR="00005274">
        <w:t xml:space="preserve"> took FID </w:t>
      </w:r>
      <w:r w:rsidR="00EE37B5">
        <w:t xml:space="preserve">and </w:t>
      </w:r>
      <w:r w:rsidR="00005274">
        <w:t>2019 will be a record year for FIDs</w:t>
      </w:r>
      <w:r w:rsidR="00EE37B5">
        <w:t xml:space="preserve">, with over 60 </w:t>
      </w:r>
      <w:proofErr w:type="spellStart"/>
      <w:r w:rsidR="00EE37B5">
        <w:t>mtpa</w:t>
      </w:r>
      <w:proofErr w:type="spellEnd"/>
      <w:r w:rsidR="00EE37B5">
        <w:t xml:space="preserve"> of projects. </w:t>
      </w:r>
      <w:r w:rsidR="004B43A3">
        <w:t xml:space="preserve">Together with another 30 </w:t>
      </w:r>
      <w:proofErr w:type="spellStart"/>
      <w:r w:rsidR="004B43A3">
        <w:t>mtpa</w:t>
      </w:r>
      <w:proofErr w:type="spellEnd"/>
      <w:r w:rsidR="004B43A3">
        <w:t xml:space="preserve"> of FIDs expected in 2020 (including Qatari LNG expansion </w:t>
      </w:r>
      <w:r w:rsidR="004B43A3" w:rsidRPr="00D43631">
        <w:t xml:space="preserve">FID), this </w:t>
      </w:r>
      <w:r w:rsidR="006A0D21" w:rsidRPr="00D43631">
        <w:t xml:space="preserve">could </w:t>
      </w:r>
      <w:r w:rsidR="004B43A3" w:rsidRPr="00D43631">
        <w:t>form a supply</w:t>
      </w:r>
      <w:r w:rsidR="00AC05BE" w:rsidRPr="00D43631">
        <w:t xml:space="preserve"> overhang for the years to come. </w:t>
      </w:r>
      <w:r w:rsidR="003416AB" w:rsidRPr="00D43631">
        <w:t>It is worth noting that methodology that Wood Mackenzie</w:t>
      </w:r>
      <w:r w:rsidR="003416AB" w:rsidRPr="005B4EF7">
        <w:t xml:space="preserve"> uses is </w:t>
      </w:r>
      <w:r w:rsidR="003416AB">
        <w:t xml:space="preserve">different from IEA’s in that market clearance </w:t>
      </w:r>
      <w:proofErr w:type="gramStart"/>
      <w:r w:rsidR="003416AB">
        <w:t>is not assumed</w:t>
      </w:r>
      <w:proofErr w:type="gramEnd"/>
      <w:r w:rsidR="003416AB">
        <w:t>. As a result, the numbers are not directly comparable. LNG s</w:t>
      </w:r>
      <w:r w:rsidR="006A0D21">
        <w:t xml:space="preserve">upply to 2025 </w:t>
      </w:r>
      <w:proofErr w:type="gramStart"/>
      <w:r w:rsidR="006A0D21">
        <w:t>is expected</w:t>
      </w:r>
      <w:proofErr w:type="gramEnd"/>
      <w:r w:rsidR="006A0D21">
        <w:t xml:space="preserve"> </w:t>
      </w:r>
      <w:r w:rsidR="00063527">
        <w:t xml:space="preserve">by </w:t>
      </w:r>
      <w:r w:rsidR="00063527" w:rsidRPr="00063527">
        <w:t>Wood Mackenzie</w:t>
      </w:r>
      <w:r w:rsidR="00063527">
        <w:t xml:space="preserve"> </w:t>
      </w:r>
      <w:r w:rsidR="006A0D21">
        <w:t xml:space="preserve">to be at </w:t>
      </w:r>
      <w:r w:rsidR="005B4EF7">
        <w:t xml:space="preserve">extra </w:t>
      </w:r>
      <w:r w:rsidR="00A253B4">
        <w:t>170</w:t>
      </w:r>
      <w:r w:rsidR="00C576C5">
        <w:t xml:space="preserve"> </w:t>
      </w:r>
      <w:proofErr w:type="spellStart"/>
      <w:r w:rsidR="00A54791">
        <w:t>mtpa</w:t>
      </w:r>
      <w:proofErr w:type="spellEnd"/>
      <w:r w:rsidR="00A54791">
        <w:t xml:space="preserve"> (</w:t>
      </w:r>
      <w:r w:rsidR="00A253B4">
        <w:t>230</w:t>
      </w:r>
      <w:r w:rsidR="00063527">
        <w:t xml:space="preserve"> </w:t>
      </w:r>
      <w:proofErr w:type="spellStart"/>
      <w:r w:rsidR="00063527">
        <w:t>bcm</w:t>
      </w:r>
      <w:proofErr w:type="spellEnd"/>
      <w:r w:rsidR="005B4EF7">
        <w:t xml:space="preserve">) </w:t>
      </w:r>
      <w:r w:rsidR="008B32EE">
        <w:t xml:space="preserve">and </w:t>
      </w:r>
      <w:r w:rsidR="00A253B4">
        <w:t>240</w:t>
      </w:r>
      <w:r w:rsidR="003416AB">
        <w:t xml:space="preserve"> </w:t>
      </w:r>
      <w:proofErr w:type="spellStart"/>
      <w:r w:rsidR="003416AB">
        <w:t>mtpa</w:t>
      </w:r>
      <w:proofErr w:type="spellEnd"/>
      <w:r w:rsidR="003416AB">
        <w:t xml:space="preserve"> (</w:t>
      </w:r>
      <w:r w:rsidR="00A253B4">
        <w:t>320</w:t>
      </w:r>
      <w:r w:rsidR="003416AB">
        <w:t xml:space="preserve"> </w:t>
      </w:r>
      <w:proofErr w:type="spellStart"/>
      <w:r w:rsidR="003416AB">
        <w:t>bcm</w:t>
      </w:r>
      <w:proofErr w:type="spellEnd"/>
      <w:r w:rsidR="003416AB">
        <w:t>)</w:t>
      </w:r>
      <w:r w:rsidR="00963134">
        <w:t xml:space="preserve"> by 2040</w:t>
      </w:r>
      <w:r w:rsidR="00CA08B4">
        <w:t>.</w:t>
      </w:r>
      <w:r w:rsidR="0023450E">
        <w:t xml:space="preserve"> Most of those volumes</w:t>
      </w:r>
      <w:r w:rsidR="00D43631">
        <w:t xml:space="preserve"> </w:t>
      </w:r>
      <w:r w:rsidR="0023450E">
        <w:t>are</w:t>
      </w:r>
      <w:r w:rsidR="00D43631">
        <w:t xml:space="preserve"> </w:t>
      </w:r>
      <w:r w:rsidR="0023450E">
        <w:t xml:space="preserve">to </w:t>
      </w:r>
      <w:proofErr w:type="gramStart"/>
      <w:r w:rsidR="0023450E">
        <w:t xml:space="preserve">be </w:t>
      </w:r>
      <w:r w:rsidR="00D43631">
        <w:t>absorbed</w:t>
      </w:r>
      <w:proofErr w:type="gramEnd"/>
      <w:r w:rsidR="00D43631">
        <w:t xml:space="preserve"> by emerging Asia demand, </w:t>
      </w:r>
      <w:r w:rsidR="00627358">
        <w:t xml:space="preserve">but due to </w:t>
      </w:r>
      <w:r w:rsidR="002D1161">
        <w:t xml:space="preserve">fast ramp-up of </w:t>
      </w:r>
      <w:r w:rsidR="00627358">
        <w:t xml:space="preserve">supply through new projects, extra 75 </w:t>
      </w:r>
      <w:proofErr w:type="spellStart"/>
      <w:r w:rsidR="00627358">
        <w:t>mtpa</w:t>
      </w:r>
      <w:proofErr w:type="spellEnd"/>
      <w:r w:rsidR="00627358">
        <w:t xml:space="preserve"> (100 </w:t>
      </w:r>
      <w:proofErr w:type="spellStart"/>
      <w:r w:rsidR="00627358">
        <w:t>bcm</w:t>
      </w:r>
      <w:proofErr w:type="spellEnd"/>
      <w:r w:rsidR="00627358">
        <w:t xml:space="preserve">) </w:t>
      </w:r>
      <w:r w:rsidR="002D1161">
        <w:t xml:space="preserve">are projected to </w:t>
      </w:r>
      <w:r w:rsidR="00627358">
        <w:t xml:space="preserve">land </w:t>
      </w:r>
      <w:r w:rsidR="002D1161">
        <w:t>in</w:t>
      </w:r>
      <w:r w:rsidR="00016FAB">
        <w:t xml:space="preserve"> Europe by 2025, in a competition with </w:t>
      </w:r>
      <w:r w:rsidR="00434776">
        <w:t xml:space="preserve">pipeline </w:t>
      </w:r>
      <w:r w:rsidR="00016FAB">
        <w:t>gas.</w:t>
      </w:r>
    </w:p>
    <w:p w14:paraId="5E55D42B" w14:textId="2BDEDD9A" w:rsidR="00434776" w:rsidRPr="00B02E4F" w:rsidRDefault="00434776" w:rsidP="005730C7">
      <w:pPr>
        <w:pStyle w:val="Heading4"/>
        <w:jc w:val="center"/>
      </w:pPr>
      <w:bookmarkStart w:id="58" w:name="_Toc1561780"/>
      <w:bookmarkStart w:id="59" w:name="_Toc1561963"/>
      <w:bookmarkStart w:id="60" w:name="_Toc1661453"/>
      <w:r w:rsidRPr="00B02E4F">
        <w:t>Table</w:t>
      </w:r>
      <w:r w:rsidR="00513459">
        <w:t xml:space="preserve"> </w:t>
      </w:r>
      <w:r w:rsidR="008A47BC">
        <w:t>6:</w:t>
      </w:r>
      <w:r w:rsidRPr="00B02E4F">
        <w:t xml:space="preserve"> Wood Mackenzie’s gas trade projection (</w:t>
      </w:r>
      <w:proofErr w:type="spellStart"/>
      <w:r w:rsidR="00AA7703">
        <w:t>bcm</w:t>
      </w:r>
      <w:proofErr w:type="spellEnd"/>
      <w:r w:rsidRPr="00B02E4F">
        <w:t>)</w:t>
      </w:r>
      <w:bookmarkEnd w:id="58"/>
      <w:bookmarkEnd w:id="59"/>
      <w:bookmarkEnd w:id="60"/>
    </w:p>
    <w:tbl>
      <w:tblPr>
        <w:tblW w:w="6269" w:type="dxa"/>
        <w:jc w:val="center"/>
        <w:tblLook w:val="04A0" w:firstRow="1" w:lastRow="0" w:firstColumn="1" w:lastColumn="0" w:noHBand="0" w:noVBand="1"/>
      </w:tblPr>
      <w:tblGrid>
        <w:gridCol w:w="3389"/>
        <w:gridCol w:w="960"/>
        <w:gridCol w:w="960"/>
        <w:gridCol w:w="960"/>
      </w:tblGrid>
      <w:tr w:rsidR="0011794C" w:rsidRPr="00B02E4F" w14:paraId="28383DD7" w14:textId="77777777" w:rsidTr="00493DB1">
        <w:trPr>
          <w:trHeight w:val="300"/>
          <w:jc w:val="center"/>
        </w:trPr>
        <w:tc>
          <w:tcPr>
            <w:tcW w:w="3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F66FA" w14:textId="68A38253" w:rsidR="0011794C" w:rsidRPr="003640A8" w:rsidRDefault="0011794C" w:rsidP="00B61C3C">
            <w:pPr>
              <w:spacing w:after="0" w:line="240" w:lineRule="auto"/>
              <w:jc w:val="center"/>
              <w:rPr>
                <w:rFonts w:ascii="Calibri" w:eastAsia="Times New Roman" w:hAnsi="Calibri" w:cs="Times New Roman"/>
                <w:b/>
                <w:color w:val="000000"/>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24E4D94" w14:textId="77777777" w:rsidR="0011794C" w:rsidRPr="003640A8" w:rsidRDefault="0011794C" w:rsidP="00B61C3C">
            <w:pPr>
              <w:spacing w:after="0" w:line="240" w:lineRule="auto"/>
              <w:jc w:val="center"/>
              <w:rPr>
                <w:rFonts w:ascii="Calibri" w:eastAsia="Times New Roman" w:hAnsi="Calibri" w:cs="Times New Roman"/>
                <w:b/>
                <w:color w:val="000000"/>
              </w:rPr>
            </w:pPr>
            <w:r w:rsidRPr="003640A8">
              <w:rPr>
                <w:rFonts w:ascii="Calibri" w:eastAsia="Times New Roman" w:hAnsi="Calibri" w:cs="Times New Roman"/>
                <w:b/>
                <w:color w:val="000000"/>
              </w:rPr>
              <w:t>2018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7A0557F" w14:textId="77777777" w:rsidR="0011794C" w:rsidRPr="003640A8" w:rsidRDefault="0011794C" w:rsidP="00B61C3C">
            <w:pPr>
              <w:spacing w:after="0" w:line="240" w:lineRule="auto"/>
              <w:jc w:val="center"/>
              <w:rPr>
                <w:rFonts w:ascii="Calibri" w:eastAsia="Times New Roman" w:hAnsi="Calibri" w:cs="Times New Roman"/>
                <w:b/>
                <w:color w:val="000000"/>
              </w:rPr>
            </w:pPr>
            <w:r w:rsidRPr="003640A8">
              <w:rPr>
                <w:rFonts w:ascii="Calibri" w:eastAsia="Times New Roman" w:hAnsi="Calibri" w:cs="Times New Roman"/>
                <w:b/>
                <w:color w:val="000000"/>
              </w:rPr>
              <w:t>2025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CFCC5AD" w14:textId="77777777" w:rsidR="0011794C" w:rsidRPr="003640A8" w:rsidRDefault="0011794C" w:rsidP="00B61C3C">
            <w:pPr>
              <w:spacing w:after="0" w:line="240" w:lineRule="auto"/>
              <w:jc w:val="center"/>
              <w:rPr>
                <w:rFonts w:ascii="Calibri" w:eastAsia="Times New Roman" w:hAnsi="Calibri" w:cs="Times New Roman"/>
                <w:b/>
                <w:color w:val="000000"/>
              </w:rPr>
            </w:pPr>
            <w:r w:rsidRPr="003640A8">
              <w:rPr>
                <w:rFonts w:ascii="Calibri" w:eastAsia="Times New Roman" w:hAnsi="Calibri" w:cs="Times New Roman"/>
                <w:b/>
                <w:color w:val="000000"/>
              </w:rPr>
              <w:t>2040</w:t>
            </w:r>
          </w:p>
        </w:tc>
      </w:tr>
      <w:tr w:rsidR="0011794C" w:rsidRPr="003640A8" w14:paraId="500BA325" w14:textId="77777777" w:rsidTr="00493DB1">
        <w:trPr>
          <w:trHeight w:val="300"/>
          <w:jc w:val="center"/>
        </w:trPr>
        <w:tc>
          <w:tcPr>
            <w:tcW w:w="3389" w:type="dxa"/>
            <w:tcBorders>
              <w:top w:val="nil"/>
              <w:left w:val="single" w:sz="4" w:space="0" w:color="auto"/>
              <w:bottom w:val="single" w:sz="4" w:space="0" w:color="auto"/>
              <w:right w:val="single" w:sz="4" w:space="0" w:color="auto"/>
            </w:tcBorders>
            <w:shd w:val="clear" w:color="auto" w:fill="auto"/>
            <w:noWrap/>
            <w:vAlign w:val="center"/>
            <w:hideMark/>
          </w:tcPr>
          <w:p w14:paraId="10A9193B" w14:textId="4BE17A5E" w:rsidR="0011794C" w:rsidRPr="003640A8" w:rsidRDefault="0011794C" w:rsidP="00477F78">
            <w:pPr>
              <w:spacing w:after="0" w:line="240" w:lineRule="auto"/>
              <w:jc w:val="center"/>
              <w:rPr>
                <w:rFonts w:ascii="Calibri" w:eastAsia="Times New Roman" w:hAnsi="Calibri" w:cs="Times New Roman"/>
                <w:color w:val="000000"/>
              </w:rPr>
            </w:pPr>
            <w:r w:rsidRPr="003640A8">
              <w:rPr>
                <w:rFonts w:ascii="Calibri" w:eastAsia="Times New Roman" w:hAnsi="Calibri" w:cs="Times New Roman"/>
                <w:color w:val="000000"/>
              </w:rPr>
              <w:t>Total</w:t>
            </w:r>
            <w:r w:rsidR="0081782E">
              <w:rPr>
                <w:rFonts w:ascii="Calibri" w:eastAsia="Times New Roman" w:hAnsi="Calibri" w:cs="Times New Roman"/>
                <w:color w:val="000000"/>
              </w:rPr>
              <w:t xml:space="preserve"> </w:t>
            </w:r>
            <w:r w:rsidRPr="003640A8">
              <w:rPr>
                <w:rFonts w:ascii="Calibri" w:eastAsia="Times New Roman" w:hAnsi="Calibri" w:cs="Times New Roman"/>
                <w:color w:val="000000"/>
              </w:rPr>
              <w:t>trade</w:t>
            </w:r>
          </w:p>
        </w:tc>
        <w:tc>
          <w:tcPr>
            <w:tcW w:w="960" w:type="dxa"/>
            <w:tcBorders>
              <w:top w:val="nil"/>
              <w:left w:val="nil"/>
              <w:bottom w:val="single" w:sz="4" w:space="0" w:color="auto"/>
              <w:right w:val="single" w:sz="4" w:space="0" w:color="auto"/>
            </w:tcBorders>
            <w:shd w:val="clear" w:color="auto" w:fill="auto"/>
            <w:noWrap/>
            <w:vAlign w:val="center"/>
            <w:hideMark/>
          </w:tcPr>
          <w:p w14:paraId="4239A1C8" w14:textId="167CD769" w:rsidR="0011794C" w:rsidRPr="003640A8" w:rsidRDefault="0081782E" w:rsidP="00B61C3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891</w:t>
            </w:r>
          </w:p>
        </w:tc>
        <w:tc>
          <w:tcPr>
            <w:tcW w:w="960" w:type="dxa"/>
            <w:tcBorders>
              <w:top w:val="nil"/>
              <w:left w:val="nil"/>
              <w:bottom w:val="single" w:sz="4" w:space="0" w:color="auto"/>
              <w:right w:val="single" w:sz="4" w:space="0" w:color="auto"/>
            </w:tcBorders>
            <w:shd w:val="clear" w:color="auto" w:fill="auto"/>
            <w:noWrap/>
            <w:vAlign w:val="center"/>
            <w:hideMark/>
          </w:tcPr>
          <w:p w14:paraId="00D97716" w14:textId="77777777" w:rsidR="0011794C" w:rsidRPr="003640A8" w:rsidRDefault="0011794C" w:rsidP="00B61C3C">
            <w:pPr>
              <w:spacing w:after="0" w:line="240" w:lineRule="auto"/>
              <w:jc w:val="center"/>
              <w:rPr>
                <w:rFonts w:ascii="Calibri" w:eastAsia="Times New Roman" w:hAnsi="Calibri" w:cs="Times New Roman"/>
                <w:color w:val="000000"/>
              </w:rPr>
            </w:pPr>
            <w:r w:rsidRPr="003640A8">
              <w:rPr>
                <w:rFonts w:ascii="Calibri" w:eastAsia="Times New Roman" w:hAnsi="Calibri" w:cs="Times New Roman"/>
                <w:color w:val="000000"/>
              </w:rPr>
              <w:t>1039</w:t>
            </w:r>
          </w:p>
        </w:tc>
        <w:tc>
          <w:tcPr>
            <w:tcW w:w="960" w:type="dxa"/>
            <w:tcBorders>
              <w:top w:val="nil"/>
              <w:left w:val="nil"/>
              <w:bottom w:val="single" w:sz="4" w:space="0" w:color="auto"/>
              <w:right w:val="single" w:sz="4" w:space="0" w:color="auto"/>
            </w:tcBorders>
            <w:shd w:val="clear" w:color="auto" w:fill="auto"/>
            <w:noWrap/>
            <w:vAlign w:val="center"/>
            <w:hideMark/>
          </w:tcPr>
          <w:p w14:paraId="31BA3839" w14:textId="77777777" w:rsidR="0011794C" w:rsidRPr="003640A8" w:rsidRDefault="0011794C" w:rsidP="00B61C3C">
            <w:pPr>
              <w:spacing w:after="0" w:line="240" w:lineRule="auto"/>
              <w:jc w:val="center"/>
              <w:rPr>
                <w:rFonts w:ascii="Calibri" w:eastAsia="Times New Roman" w:hAnsi="Calibri" w:cs="Times New Roman"/>
                <w:color w:val="000000"/>
              </w:rPr>
            </w:pPr>
            <w:r w:rsidRPr="003640A8">
              <w:rPr>
                <w:rFonts w:ascii="Calibri" w:eastAsia="Times New Roman" w:hAnsi="Calibri" w:cs="Times New Roman"/>
                <w:color w:val="000000"/>
              </w:rPr>
              <w:t>1382</w:t>
            </w:r>
          </w:p>
        </w:tc>
      </w:tr>
      <w:tr w:rsidR="0011794C" w:rsidRPr="003640A8" w14:paraId="7B0D4760" w14:textId="77777777" w:rsidTr="00493DB1">
        <w:trPr>
          <w:trHeight w:val="300"/>
          <w:jc w:val="center"/>
        </w:trPr>
        <w:tc>
          <w:tcPr>
            <w:tcW w:w="3389" w:type="dxa"/>
            <w:tcBorders>
              <w:top w:val="nil"/>
              <w:left w:val="single" w:sz="4" w:space="0" w:color="auto"/>
              <w:bottom w:val="single" w:sz="4" w:space="0" w:color="auto"/>
              <w:right w:val="single" w:sz="4" w:space="0" w:color="auto"/>
            </w:tcBorders>
            <w:shd w:val="clear" w:color="auto" w:fill="auto"/>
            <w:noWrap/>
            <w:vAlign w:val="center"/>
            <w:hideMark/>
          </w:tcPr>
          <w:p w14:paraId="697EAFDF" w14:textId="77777777" w:rsidR="0011794C" w:rsidRPr="003640A8" w:rsidRDefault="0011794C" w:rsidP="00B61C3C">
            <w:pPr>
              <w:spacing w:after="0" w:line="240" w:lineRule="auto"/>
              <w:jc w:val="center"/>
              <w:rPr>
                <w:rFonts w:ascii="Calibri" w:eastAsia="Times New Roman" w:hAnsi="Calibri" w:cs="Times New Roman"/>
                <w:color w:val="000000"/>
              </w:rPr>
            </w:pPr>
            <w:r w:rsidRPr="003640A8">
              <w:rPr>
                <w:rFonts w:ascii="Calibri" w:eastAsia="Times New Roman" w:hAnsi="Calibri" w:cs="Times New Roman"/>
                <w:color w:val="000000"/>
              </w:rPr>
              <w:t>LNG capacity</w:t>
            </w:r>
          </w:p>
        </w:tc>
        <w:tc>
          <w:tcPr>
            <w:tcW w:w="960" w:type="dxa"/>
            <w:tcBorders>
              <w:top w:val="nil"/>
              <w:left w:val="nil"/>
              <w:bottom w:val="single" w:sz="4" w:space="0" w:color="auto"/>
              <w:right w:val="single" w:sz="4" w:space="0" w:color="auto"/>
            </w:tcBorders>
            <w:shd w:val="clear" w:color="auto" w:fill="auto"/>
            <w:noWrap/>
            <w:vAlign w:val="center"/>
            <w:hideMark/>
          </w:tcPr>
          <w:p w14:paraId="3C2DF60C" w14:textId="1284EE16" w:rsidR="0011794C" w:rsidRPr="003640A8" w:rsidRDefault="0011794C" w:rsidP="00B61C3C">
            <w:pPr>
              <w:spacing w:after="0" w:line="240" w:lineRule="auto"/>
              <w:jc w:val="center"/>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54ADAAF9" w14:textId="77777777" w:rsidR="0011794C" w:rsidRPr="003640A8" w:rsidRDefault="0011794C" w:rsidP="00B61C3C">
            <w:pPr>
              <w:spacing w:after="0" w:line="240" w:lineRule="auto"/>
              <w:jc w:val="center"/>
              <w:rPr>
                <w:rFonts w:ascii="Calibri" w:eastAsia="Times New Roman" w:hAnsi="Calibri" w:cs="Times New Roman"/>
                <w:color w:val="000000"/>
              </w:rPr>
            </w:pPr>
            <w:r w:rsidRPr="003640A8">
              <w:rPr>
                <w:rFonts w:ascii="Calibri" w:eastAsia="Times New Roman" w:hAnsi="Calibri" w:cs="Times New Roman"/>
                <w:color w:val="000000"/>
              </w:rPr>
              <w:t>463</w:t>
            </w:r>
          </w:p>
        </w:tc>
        <w:tc>
          <w:tcPr>
            <w:tcW w:w="960" w:type="dxa"/>
            <w:tcBorders>
              <w:top w:val="nil"/>
              <w:left w:val="nil"/>
              <w:bottom w:val="single" w:sz="4" w:space="0" w:color="auto"/>
              <w:right w:val="single" w:sz="4" w:space="0" w:color="auto"/>
            </w:tcBorders>
            <w:shd w:val="clear" w:color="auto" w:fill="auto"/>
            <w:noWrap/>
            <w:vAlign w:val="center"/>
            <w:hideMark/>
          </w:tcPr>
          <w:p w14:paraId="25850493" w14:textId="77777777" w:rsidR="0011794C" w:rsidRPr="003640A8" w:rsidRDefault="0011794C" w:rsidP="00B61C3C">
            <w:pPr>
              <w:spacing w:after="0" w:line="240" w:lineRule="auto"/>
              <w:jc w:val="center"/>
              <w:rPr>
                <w:rFonts w:ascii="Calibri" w:eastAsia="Times New Roman" w:hAnsi="Calibri" w:cs="Times New Roman"/>
                <w:color w:val="000000"/>
              </w:rPr>
            </w:pPr>
            <w:r w:rsidRPr="003640A8">
              <w:rPr>
                <w:rFonts w:ascii="Calibri" w:eastAsia="Times New Roman" w:hAnsi="Calibri" w:cs="Times New Roman"/>
                <w:color w:val="000000"/>
              </w:rPr>
              <w:t>410</w:t>
            </w:r>
          </w:p>
        </w:tc>
      </w:tr>
      <w:tr w:rsidR="0011794C" w:rsidRPr="003640A8" w14:paraId="4B3D95F7" w14:textId="77777777" w:rsidTr="00493DB1">
        <w:trPr>
          <w:trHeight w:val="300"/>
          <w:jc w:val="center"/>
        </w:trPr>
        <w:tc>
          <w:tcPr>
            <w:tcW w:w="3389" w:type="dxa"/>
            <w:tcBorders>
              <w:top w:val="nil"/>
              <w:left w:val="single" w:sz="4" w:space="0" w:color="auto"/>
              <w:bottom w:val="single" w:sz="4" w:space="0" w:color="auto"/>
              <w:right w:val="single" w:sz="4" w:space="0" w:color="auto"/>
            </w:tcBorders>
            <w:shd w:val="clear" w:color="auto" w:fill="auto"/>
            <w:noWrap/>
            <w:vAlign w:val="center"/>
            <w:hideMark/>
          </w:tcPr>
          <w:p w14:paraId="4778351F" w14:textId="77777777" w:rsidR="0011794C" w:rsidRPr="003640A8" w:rsidRDefault="0011794C" w:rsidP="00B61C3C">
            <w:pPr>
              <w:spacing w:after="0" w:line="240" w:lineRule="auto"/>
              <w:jc w:val="center"/>
              <w:rPr>
                <w:rFonts w:ascii="Calibri" w:eastAsia="Times New Roman" w:hAnsi="Calibri" w:cs="Times New Roman"/>
                <w:color w:val="000000"/>
              </w:rPr>
            </w:pPr>
            <w:r w:rsidRPr="003640A8">
              <w:rPr>
                <w:rFonts w:ascii="Calibri" w:eastAsia="Times New Roman" w:hAnsi="Calibri" w:cs="Times New Roman"/>
                <w:color w:val="000000"/>
              </w:rPr>
              <w:lastRenderedPageBreak/>
              <w:t>LNG supply</w:t>
            </w:r>
          </w:p>
        </w:tc>
        <w:tc>
          <w:tcPr>
            <w:tcW w:w="960" w:type="dxa"/>
            <w:tcBorders>
              <w:top w:val="nil"/>
              <w:left w:val="nil"/>
              <w:bottom w:val="single" w:sz="4" w:space="0" w:color="auto"/>
              <w:right w:val="single" w:sz="4" w:space="0" w:color="auto"/>
            </w:tcBorders>
            <w:shd w:val="clear" w:color="auto" w:fill="auto"/>
            <w:noWrap/>
            <w:vAlign w:val="center"/>
            <w:hideMark/>
          </w:tcPr>
          <w:p w14:paraId="699ABADB" w14:textId="670FDA3D" w:rsidR="0011794C" w:rsidRPr="003640A8" w:rsidRDefault="0081782E" w:rsidP="00B61C3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426</w:t>
            </w:r>
          </w:p>
        </w:tc>
        <w:tc>
          <w:tcPr>
            <w:tcW w:w="960" w:type="dxa"/>
            <w:tcBorders>
              <w:top w:val="nil"/>
              <w:left w:val="nil"/>
              <w:bottom w:val="single" w:sz="4" w:space="0" w:color="auto"/>
              <w:right w:val="single" w:sz="4" w:space="0" w:color="auto"/>
            </w:tcBorders>
            <w:shd w:val="clear" w:color="auto" w:fill="auto"/>
            <w:noWrap/>
            <w:vAlign w:val="center"/>
            <w:hideMark/>
          </w:tcPr>
          <w:p w14:paraId="2E4D9EF1" w14:textId="5FA533FE" w:rsidR="0011794C" w:rsidRPr="003640A8" w:rsidRDefault="00AA7703" w:rsidP="00B61C3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629</w:t>
            </w:r>
          </w:p>
        </w:tc>
        <w:tc>
          <w:tcPr>
            <w:tcW w:w="960" w:type="dxa"/>
            <w:tcBorders>
              <w:top w:val="nil"/>
              <w:left w:val="nil"/>
              <w:bottom w:val="single" w:sz="4" w:space="0" w:color="auto"/>
              <w:right w:val="single" w:sz="4" w:space="0" w:color="auto"/>
            </w:tcBorders>
            <w:shd w:val="clear" w:color="auto" w:fill="auto"/>
            <w:noWrap/>
            <w:vAlign w:val="center"/>
            <w:hideMark/>
          </w:tcPr>
          <w:p w14:paraId="72D75DFD" w14:textId="6CE5AED7" w:rsidR="0011794C" w:rsidRPr="003640A8" w:rsidRDefault="00AA7703" w:rsidP="00B61C3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947</w:t>
            </w:r>
          </w:p>
        </w:tc>
      </w:tr>
      <w:tr w:rsidR="00696558" w:rsidRPr="003640A8" w14:paraId="3E9A8340" w14:textId="77777777" w:rsidTr="00551C8D">
        <w:trPr>
          <w:trHeight w:val="300"/>
          <w:jc w:val="center"/>
        </w:trPr>
        <w:tc>
          <w:tcPr>
            <w:tcW w:w="33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DF4F7" w14:textId="620798A1" w:rsidR="00696558" w:rsidRPr="00FE781F" w:rsidRDefault="00696558" w:rsidP="00696558">
            <w:pPr>
              <w:spacing w:after="0" w:line="240" w:lineRule="auto"/>
              <w:jc w:val="center"/>
            </w:pPr>
            <w:r>
              <w:t xml:space="preserve">Japan spot price </w:t>
            </w:r>
            <w:r w:rsidRPr="00FE781F">
              <w:t>($2017/</w:t>
            </w:r>
            <w:proofErr w:type="spellStart"/>
            <w:r w:rsidRPr="00FE781F">
              <w:t>MBtu</w:t>
            </w:r>
            <w:proofErr w:type="spellEnd"/>
            <w:r w:rsidRPr="00FE781F">
              <w:t>)</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23B817F" w14:textId="1539016E" w:rsidR="00696558" w:rsidRDefault="00696558" w:rsidP="00696558">
            <w:pPr>
              <w:spacing w:after="0" w:line="240" w:lineRule="auto"/>
              <w:jc w:val="center"/>
              <w:rPr>
                <w:rFonts w:ascii="Calibri" w:eastAsia="Times New Roman" w:hAnsi="Calibri" w:cs="Times New Roman"/>
                <w:color w:val="000000"/>
              </w:rPr>
            </w:pPr>
            <w:r w:rsidRPr="00696558">
              <w:rPr>
                <w:rFonts w:ascii="Calibri" w:eastAsia="Times New Roman" w:hAnsi="Calibri" w:cs="Times New Roman"/>
                <w:color w:val="000000"/>
              </w:rPr>
              <w:t xml:space="preserve">7.6 </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FE3AFD6" w14:textId="497940D9" w:rsidR="00696558" w:rsidRDefault="00696558" w:rsidP="00696558">
            <w:pPr>
              <w:spacing w:after="0" w:line="240" w:lineRule="auto"/>
              <w:jc w:val="center"/>
              <w:rPr>
                <w:rFonts w:ascii="Calibri" w:eastAsia="Times New Roman" w:hAnsi="Calibri" w:cs="Times New Roman"/>
                <w:color w:val="000000"/>
              </w:rPr>
            </w:pPr>
            <w:r w:rsidRPr="00696558">
              <w:rPr>
                <w:rFonts w:ascii="Calibri" w:eastAsia="Times New Roman" w:hAnsi="Calibri" w:cs="Times New Roman"/>
                <w:color w:val="000000"/>
              </w:rPr>
              <w:t>8.5</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5CDDA89D" w14:textId="4C40EC66" w:rsidR="00696558" w:rsidRDefault="00696558" w:rsidP="006965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12.5</w:t>
            </w:r>
          </w:p>
        </w:tc>
      </w:tr>
      <w:tr w:rsidR="00493DB1" w:rsidRPr="003640A8" w14:paraId="230C50B0" w14:textId="77777777" w:rsidTr="00493DB1">
        <w:trPr>
          <w:trHeight w:val="300"/>
          <w:jc w:val="center"/>
        </w:trPr>
        <w:tc>
          <w:tcPr>
            <w:tcW w:w="33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44091" w14:textId="35813823" w:rsidR="00493DB1" w:rsidRPr="00FE781F" w:rsidRDefault="00696558" w:rsidP="00B61C3C">
            <w:pPr>
              <w:spacing w:after="0" w:line="240" w:lineRule="auto"/>
              <w:jc w:val="center"/>
            </w:pPr>
            <w:r>
              <w:t>(TTF+NBP)*0.5</w:t>
            </w:r>
            <w:r w:rsidR="00493DB1">
              <w:t xml:space="preserve"> price </w:t>
            </w:r>
            <w:r w:rsidR="00493DB1" w:rsidRPr="00FE781F">
              <w:t>($2017/</w:t>
            </w:r>
            <w:proofErr w:type="spellStart"/>
            <w:r w:rsidR="00493DB1" w:rsidRPr="00FE781F">
              <w:t>MBtu</w:t>
            </w:r>
            <w:proofErr w:type="spellEnd"/>
            <w:r w:rsidR="00493DB1" w:rsidRPr="00FE781F">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FDDBC51" w14:textId="78BD19DB" w:rsidR="00493DB1" w:rsidRDefault="00696558" w:rsidP="00B61C3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88E2766" w14:textId="23C4E638" w:rsidR="00493DB1" w:rsidRDefault="00696558" w:rsidP="00B61C3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7.3</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08A41D5" w14:textId="0E3BE6BA" w:rsidR="00493DB1" w:rsidRDefault="00696558" w:rsidP="00B61C3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10.7</w:t>
            </w:r>
          </w:p>
        </w:tc>
      </w:tr>
      <w:tr w:rsidR="0011794C" w:rsidRPr="003640A8" w14:paraId="028ABEB8" w14:textId="77777777" w:rsidTr="00493DB1">
        <w:trPr>
          <w:trHeight w:val="300"/>
          <w:jc w:val="center"/>
        </w:trPr>
        <w:tc>
          <w:tcPr>
            <w:tcW w:w="33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0DB05" w14:textId="7EC9EAA7" w:rsidR="0011794C" w:rsidRPr="003640A8" w:rsidRDefault="0011794C" w:rsidP="00B61C3C">
            <w:pPr>
              <w:spacing w:after="0" w:line="240" w:lineRule="auto"/>
              <w:jc w:val="center"/>
              <w:rPr>
                <w:rFonts w:ascii="Calibri" w:eastAsia="Times New Roman" w:hAnsi="Calibri" w:cs="Times New Roman"/>
                <w:color w:val="000000"/>
              </w:rPr>
            </w:pPr>
            <w:r w:rsidRPr="00FE781F">
              <w:t>Henry Hub price ($2017/</w:t>
            </w:r>
            <w:proofErr w:type="spellStart"/>
            <w:r w:rsidRPr="00FE781F">
              <w:t>MBtu</w:t>
            </w:r>
            <w:proofErr w:type="spellEnd"/>
            <w:r w:rsidRPr="00FE781F">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B0F5670" w14:textId="34A7AE1F" w:rsidR="0011794C" w:rsidRPr="003640A8" w:rsidRDefault="0011794C" w:rsidP="00B61C3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52BFBB7" w14:textId="1A8833E0" w:rsidR="0011794C" w:rsidRPr="003640A8" w:rsidRDefault="0011794C" w:rsidP="00B61C3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364868E" w14:textId="3A8758B3" w:rsidR="0011794C" w:rsidRPr="003640A8" w:rsidRDefault="0011794C" w:rsidP="00B61C3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w:t>
            </w:r>
          </w:p>
        </w:tc>
      </w:tr>
    </w:tbl>
    <w:p w14:paraId="1A5D22F1" w14:textId="4C0BC279" w:rsidR="006C5FBC" w:rsidRPr="006C5FBC" w:rsidRDefault="006C5FBC" w:rsidP="006C5FBC">
      <w:pPr>
        <w:pStyle w:val="Caption"/>
        <w:spacing w:after="160"/>
        <w:contextualSpacing/>
        <w:rPr>
          <w:rFonts w:ascii="Calibri Light" w:eastAsia="Calibri" w:hAnsi="Calibri Light" w:cs="Arial"/>
          <w:sz w:val="16"/>
          <w:szCs w:val="16"/>
          <w:lang w:val="en-AU" w:eastAsia="ja-JP"/>
        </w:rPr>
      </w:pPr>
      <w:r w:rsidRPr="006C5FBC">
        <w:rPr>
          <w:rFonts w:ascii="Calibri Light" w:eastAsia="Calibri" w:hAnsi="Calibri Light" w:cs="Arial"/>
          <w:sz w:val="16"/>
          <w:szCs w:val="16"/>
          <w:lang w:val="en-AU" w:eastAsia="ja-JP"/>
        </w:rPr>
        <w:t xml:space="preserve">Source: </w:t>
      </w:r>
      <w:r>
        <w:rPr>
          <w:rFonts w:ascii="Calibri Light" w:eastAsia="Calibri" w:hAnsi="Calibri Light" w:cs="Arial"/>
          <w:sz w:val="16"/>
          <w:szCs w:val="16"/>
          <w:lang w:val="en-AU" w:eastAsia="ja-JP"/>
        </w:rPr>
        <w:t>Wood Mackenzie’s Global Gas Service Base Case H2 2018</w:t>
      </w:r>
    </w:p>
    <w:p w14:paraId="52635BBB" w14:textId="77777777" w:rsidR="006C5FBC" w:rsidRDefault="006C5FBC" w:rsidP="00170610">
      <w:pPr>
        <w:jc w:val="lowKashida"/>
      </w:pPr>
    </w:p>
    <w:p w14:paraId="32B28923" w14:textId="68C46BAB" w:rsidR="00765F0E" w:rsidRDefault="002B1FCB" w:rsidP="00170610">
      <w:pPr>
        <w:jc w:val="lowKashida"/>
      </w:pPr>
      <w:r>
        <w:t xml:space="preserve">The conversion factors (in this case, gas temperature) that GECF and IEA use are comparable, while for </w:t>
      </w:r>
      <w:proofErr w:type="spellStart"/>
      <w:r>
        <w:t>WoodMac</w:t>
      </w:r>
      <w:proofErr w:type="spellEnd"/>
      <w:r>
        <w:t xml:space="preserve"> the calorific equivalent </w:t>
      </w:r>
      <w:proofErr w:type="gramStart"/>
      <w:r>
        <w:t>is used</w:t>
      </w:r>
      <w:proofErr w:type="gramEnd"/>
      <w:r>
        <w:t xml:space="preserve"> instead. </w:t>
      </w:r>
      <w:proofErr w:type="gramStart"/>
      <w:r w:rsidR="00217B79">
        <w:t>Also</w:t>
      </w:r>
      <w:proofErr w:type="gramEnd"/>
      <w:r w:rsidR="00217B79">
        <w:t xml:space="preserve">, pipeline figures are not fully comparable as GECF forecast is at the country level, while IEA forecast considers only inter-regional pipeline trade. </w:t>
      </w:r>
      <w:r w:rsidR="00170610" w:rsidRPr="00170610">
        <w:t xml:space="preserve">Comparing the three LNG trade </w:t>
      </w:r>
      <w:r w:rsidR="00170610">
        <w:t>scenarios, one can get a wide range of estimates of volumes even as the Henry Hub prices stay within $3/</w:t>
      </w:r>
      <w:proofErr w:type="spellStart"/>
      <w:r w:rsidR="00170610">
        <w:t>mmbtu</w:t>
      </w:r>
      <w:proofErr w:type="spellEnd"/>
      <w:r w:rsidR="00170610">
        <w:t xml:space="preserve">. </w:t>
      </w:r>
      <w:r>
        <w:t xml:space="preserve">Even as </w:t>
      </w:r>
      <w:r w:rsidR="00D42140">
        <w:t>IEA projects less natural gas traded in the long-term</w:t>
      </w:r>
      <w:r w:rsidR="00747434">
        <w:t xml:space="preserve"> than GECF</w:t>
      </w:r>
      <w:r w:rsidR="00D42140">
        <w:t xml:space="preserve">, it is </w:t>
      </w:r>
      <w:r w:rsidR="00747434">
        <w:t xml:space="preserve">more aggressive on LNG post-2025. </w:t>
      </w:r>
      <w:r w:rsidR="007146A4">
        <w:t xml:space="preserve">On the other hand, both GECF and </w:t>
      </w:r>
      <w:proofErr w:type="spellStart"/>
      <w:r w:rsidR="007146A4">
        <w:t>WoodMac</w:t>
      </w:r>
      <w:proofErr w:type="spellEnd"/>
      <w:r w:rsidR="007146A4">
        <w:t xml:space="preserve"> project less LNG activity post-2025, but more (extra 45 </w:t>
      </w:r>
      <w:proofErr w:type="spellStart"/>
      <w:r w:rsidR="007146A4">
        <w:t>bcm</w:t>
      </w:r>
      <w:proofErr w:type="spellEnd"/>
      <w:r w:rsidR="007146A4">
        <w:t>) in 2018-2025.</w:t>
      </w:r>
      <w:r w:rsidR="00EF11A7">
        <w:t xml:space="preserve"> However, it </w:t>
      </w:r>
      <w:proofErr w:type="gramStart"/>
      <w:r w:rsidR="00EF11A7">
        <w:t>should be noted</w:t>
      </w:r>
      <w:proofErr w:type="gramEnd"/>
      <w:r w:rsidR="00EF11A7">
        <w:t xml:space="preserve"> that GECF model is balanced, while </w:t>
      </w:r>
      <w:proofErr w:type="spellStart"/>
      <w:r w:rsidR="00EF11A7">
        <w:t>WoodMac’s</w:t>
      </w:r>
      <w:proofErr w:type="spellEnd"/>
      <w:r w:rsidR="00EF11A7">
        <w:t xml:space="preserve"> model indicates demand-supply gap that is not yet filled up with new LNG projects.</w:t>
      </w:r>
    </w:p>
    <w:p w14:paraId="3D428365" w14:textId="439E0600" w:rsidR="00A74A57" w:rsidRPr="00B02E4F" w:rsidRDefault="00A74A57" w:rsidP="005730C7">
      <w:pPr>
        <w:pStyle w:val="Heading4"/>
        <w:jc w:val="center"/>
      </w:pPr>
      <w:bookmarkStart w:id="61" w:name="_Toc1561781"/>
      <w:bookmarkStart w:id="62" w:name="_Toc1561964"/>
      <w:bookmarkStart w:id="63" w:name="_Toc1661454"/>
      <w:r w:rsidRPr="00B02E4F">
        <w:t>Table</w:t>
      </w:r>
      <w:r>
        <w:t xml:space="preserve"> </w:t>
      </w:r>
      <w:r w:rsidR="00995417">
        <w:t>5</w:t>
      </w:r>
      <w:r w:rsidR="008A47BC">
        <w:t>:</w:t>
      </w:r>
      <w:r w:rsidRPr="00B02E4F">
        <w:t xml:space="preserve"> </w:t>
      </w:r>
      <w:r>
        <w:t>Benchmarking global</w:t>
      </w:r>
      <w:r w:rsidRPr="00B02E4F">
        <w:t xml:space="preserve"> gas trade projection</w:t>
      </w:r>
      <w:r>
        <w:t>s</w:t>
      </w:r>
      <w:r w:rsidRPr="00B02E4F">
        <w:t xml:space="preserve"> (</w:t>
      </w:r>
      <w:proofErr w:type="spellStart"/>
      <w:r>
        <w:t>bcm</w:t>
      </w:r>
      <w:proofErr w:type="spellEnd"/>
      <w:r w:rsidRPr="00B02E4F">
        <w:t>)</w:t>
      </w:r>
      <w:bookmarkEnd w:id="61"/>
      <w:bookmarkEnd w:id="62"/>
      <w:bookmarkEnd w:id="63"/>
    </w:p>
    <w:tbl>
      <w:tblPr>
        <w:tblW w:w="6329" w:type="dxa"/>
        <w:jc w:val="center"/>
        <w:tblLook w:val="04A0" w:firstRow="1" w:lastRow="0" w:firstColumn="1" w:lastColumn="0" w:noHBand="0" w:noVBand="1"/>
      </w:tblPr>
      <w:tblGrid>
        <w:gridCol w:w="3502"/>
        <w:gridCol w:w="681"/>
        <w:gridCol w:w="1000"/>
        <w:gridCol w:w="1146"/>
      </w:tblGrid>
      <w:tr w:rsidR="00A74A57" w:rsidRPr="00A74A57" w14:paraId="002FBD32" w14:textId="77777777" w:rsidTr="008916F6">
        <w:trPr>
          <w:trHeight w:val="300"/>
          <w:jc w:val="center"/>
        </w:trPr>
        <w:tc>
          <w:tcPr>
            <w:tcW w:w="3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6F9DF"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2025</w:t>
            </w:r>
          </w:p>
        </w:tc>
        <w:tc>
          <w:tcPr>
            <w:tcW w:w="681" w:type="dxa"/>
            <w:tcBorders>
              <w:top w:val="single" w:sz="4" w:space="0" w:color="auto"/>
              <w:left w:val="nil"/>
              <w:bottom w:val="single" w:sz="4" w:space="0" w:color="auto"/>
              <w:right w:val="single" w:sz="4" w:space="0" w:color="auto"/>
            </w:tcBorders>
            <w:shd w:val="clear" w:color="auto" w:fill="auto"/>
            <w:noWrap/>
            <w:vAlign w:val="center"/>
            <w:hideMark/>
          </w:tcPr>
          <w:p w14:paraId="403CCBAF"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GECF</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75ED316"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IEA</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14:paraId="0BD4DD05" w14:textId="77777777" w:rsidR="00A74A57" w:rsidRPr="00A74A57" w:rsidRDefault="00A74A57" w:rsidP="00A74A57">
            <w:pPr>
              <w:spacing w:after="0" w:line="240" w:lineRule="auto"/>
              <w:jc w:val="center"/>
              <w:rPr>
                <w:rFonts w:ascii="Calibri" w:eastAsia="Times New Roman" w:hAnsi="Calibri" w:cs="Calibri"/>
                <w:color w:val="000000"/>
              </w:rPr>
            </w:pPr>
            <w:proofErr w:type="spellStart"/>
            <w:r w:rsidRPr="00A74A57">
              <w:rPr>
                <w:rFonts w:ascii="Calibri" w:eastAsia="Times New Roman" w:hAnsi="Calibri" w:cs="Calibri"/>
                <w:color w:val="000000"/>
              </w:rPr>
              <w:t>WoodMac</w:t>
            </w:r>
            <w:proofErr w:type="spellEnd"/>
          </w:p>
        </w:tc>
      </w:tr>
      <w:tr w:rsidR="00D42140" w:rsidRPr="00A74A57" w14:paraId="27DB02A6" w14:textId="77777777" w:rsidTr="008916F6">
        <w:trPr>
          <w:trHeight w:val="300"/>
          <w:jc w:val="center"/>
        </w:trPr>
        <w:tc>
          <w:tcPr>
            <w:tcW w:w="3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17D7A" w14:textId="729D3E42" w:rsidR="00D42140" w:rsidRPr="00A74A57" w:rsidRDefault="00D42140" w:rsidP="00A74A57">
            <w:pPr>
              <w:spacing w:after="0" w:line="240" w:lineRule="auto"/>
              <w:jc w:val="center"/>
              <w:rPr>
                <w:rFonts w:ascii="Calibri" w:eastAsia="Times New Roman" w:hAnsi="Calibri" w:cs="Calibri"/>
                <w:color w:val="000000"/>
              </w:rPr>
            </w:pPr>
            <w:r>
              <w:rPr>
                <w:rFonts w:ascii="Calibri" w:eastAsia="Times New Roman" w:hAnsi="Calibri" w:cs="Calibri"/>
                <w:color w:val="000000"/>
              </w:rPr>
              <w:t>Total gas trade</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77C1A" w14:textId="7A3F7D93" w:rsidR="00D42140" w:rsidRPr="00A74A57" w:rsidRDefault="00D42140" w:rsidP="00A74A57">
            <w:pPr>
              <w:spacing w:after="0" w:line="240" w:lineRule="auto"/>
              <w:jc w:val="center"/>
              <w:rPr>
                <w:rFonts w:ascii="Calibri" w:eastAsia="Times New Roman" w:hAnsi="Calibri" w:cs="Calibri"/>
                <w:color w:val="000000"/>
              </w:rPr>
            </w:pPr>
            <w:r w:rsidRPr="004D6FF3">
              <w:rPr>
                <w:rFonts w:ascii="Calibri" w:eastAsia="Times New Roman" w:hAnsi="Calibri" w:cs="Times New Roman"/>
                <w:color w:val="000000"/>
              </w:rPr>
              <w:t>1265</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0AF90" w14:textId="4349D4DF" w:rsidR="00D42140" w:rsidRPr="00A74A57" w:rsidRDefault="00D42140" w:rsidP="00A74A57">
            <w:pPr>
              <w:spacing w:after="0" w:line="240" w:lineRule="auto"/>
              <w:jc w:val="center"/>
              <w:rPr>
                <w:rFonts w:ascii="Calibri" w:eastAsia="Times New Roman" w:hAnsi="Calibri" w:cs="Calibri"/>
                <w:color w:val="000000"/>
              </w:rPr>
            </w:pPr>
            <w:r w:rsidRPr="00FE781F">
              <w:t>1000</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BF10B" w14:textId="6EC5E46C" w:rsidR="00D42140" w:rsidRPr="00A74A57" w:rsidRDefault="00D42140" w:rsidP="00A74A57">
            <w:pPr>
              <w:spacing w:after="0" w:line="240" w:lineRule="auto"/>
              <w:jc w:val="center"/>
              <w:rPr>
                <w:rFonts w:ascii="Calibri" w:eastAsia="Times New Roman" w:hAnsi="Calibri" w:cs="Calibri"/>
                <w:color w:val="000000"/>
              </w:rPr>
            </w:pPr>
            <w:r w:rsidRPr="003640A8">
              <w:rPr>
                <w:rFonts w:ascii="Calibri" w:eastAsia="Times New Roman" w:hAnsi="Calibri" w:cs="Times New Roman"/>
                <w:color w:val="000000"/>
              </w:rPr>
              <w:t>1039</w:t>
            </w:r>
          </w:p>
        </w:tc>
      </w:tr>
      <w:tr w:rsidR="00A74A57" w:rsidRPr="00A74A57" w14:paraId="3768E866" w14:textId="77777777" w:rsidTr="008916F6">
        <w:trPr>
          <w:trHeight w:val="300"/>
          <w:jc w:val="center"/>
        </w:trPr>
        <w:tc>
          <w:tcPr>
            <w:tcW w:w="3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9D95E"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Pipeline</w:t>
            </w:r>
          </w:p>
        </w:tc>
        <w:tc>
          <w:tcPr>
            <w:tcW w:w="681" w:type="dxa"/>
            <w:tcBorders>
              <w:top w:val="single" w:sz="4" w:space="0" w:color="auto"/>
              <w:left w:val="nil"/>
              <w:bottom w:val="single" w:sz="4" w:space="0" w:color="auto"/>
              <w:right w:val="single" w:sz="4" w:space="0" w:color="auto"/>
            </w:tcBorders>
            <w:shd w:val="clear" w:color="auto" w:fill="auto"/>
            <w:noWrap/>
            <w:vAlign w:val="center"/>
            <w:hideMark/>
          </w:tcPr>
          <w:p w14:paraId="5794B973"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717</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F9B51E1"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491</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14:paraId="04A13488"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423</w:t>
            </w:r>
          </w:p>
        </w:tc>
      </w:tr>
      <w:tr w:rsidR="00A74A57" w:rsidRPr="00A74A57" w14:paraId="140AD6D1" w14:textId="77777777" w:rsidTr="008916F6">
        <w:trPr>
          <w:trHeight w:val="300"/>
          <w:jc w:val="center"/>
        </w:trPr>
        <w:tc>
          <w:tcPr>
            <w:tcW w:w="3502" w:type="dxa"/>
            <w:tcBorders>
              <w:top w:val="nil"/>
              <w:left w:val="single" w:sz="4" w:space="0" w:color="auto"/>
              <w:bottom w:val="single" w:sz="4" w:space="0" w:color="auto"/>
              <w:right w:val="single" w:sz="4" w:space="0" w:color="auto"/>
            </w:tcBorders>
            <w:shd w:val="clear" w:color="auto" w:fill="auto"/>
            <w:noWrap/>
            <w:vAlign w:val="center"/>
            <w:hideMark/>
          </w:tcPr>
          <w:p w14:paraId="4EA86439"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LNG</w:t>
            </w:r>
          </w:p>
        </w:tc>
        <w:tc>
          <w:tcPr>
            <w:tcW w:w="681" w:type="dxa"/>
            <w:tcBorders>
              <w:top w:val="nil"/>
              <w:left w:val="nil"/>
              <w:bottom w:val="single" w:sz="4" w:space="0" w:color="auto"/>
              <w:right w:val="single" w:sz="4" w:space="0" w:color="auto"/>
            </w:tcBorders>
            <w:shd w:val="clear" w:color="auto" w:fill="auto"/>
            <w:noWrap/>
            <w:vAlign w:val="center"/>
            <w:hideMark/>
          </w:tcPr>
          <w:p w14:paraId="2D19D060"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536</w:t>
            </w:r>
          </w:p>
        </w:tc>
        <w:tc>
          <w:tcPr>
            <w:tcW w:w="1000" w:type="dxa"/>
            <w:tcBorders>
              <w:top w:val="nil"/>
              <w:left w:val="nil"/>
              <w:bottom w:val="single" w:sz="4" w:space="0" w:color="auto"/>
              <w:right w:val="single" w:sz="4" w:space="0" w:color="auto"/>
            </w:tcBorders>
            <w:shd w:val="clear" w:color="auto" w:fill="auto"/>
            <w:noWrap/>
            <w:vAlign w:val="center"/>
            <w:hideMark/>
          </w:tcPr>
          <w:p w14:paraId="525BBB68"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509</w:t>
            </w:r>
          </w:p>
        </w:tc>
        <w:tc>
          <w:tcPr>
            <w:tcW w:w="1146" w:type="dxa"/>
            <w:tcBorders>
              <w:top w:val="nil"/>
              <w:left w:val="nil"/>
              <w:bottom w:val="single" w:sz="4" w:space="0" w:color="auto"/>
              <w:right w:val="single" w:sz="4" w:space="0" w:color="auto"/>
            </w:tcBorders>
            <w:shd w:val="clear" w:color="auto" w:fill="auto"/>
            <w:noWrap/>
            <w:vAlign w:val="center"/>
            <w:hideMark/>
          </w:tcPr>
          <w:p w14:paraId="24315807"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554</w:t>
            </w:r>
          </w:p>
        </w:tc>
      </w:tr>
      <w:tr w:rsidR="00FA6BBA" w:rsidRPr="00A74A57" w14:paraId="70E65609" w14:textId="77777777" w:rsidTr="008916F6">
        <w:trPr>
          <w:trHeight w:val="300"/>
          <w:jc w:val="center"/>
        </w:trPr>
        <w:tc>
          <w:tcPr>
            <w:tcW w:w="3502" w:type="dxa"/>
            <w:tcBorders>
              <w:top w:val="nil"/>
              <w:left w:val="single" w:sz="4" w:space="0" w:color="auto"/>
              <w:bottom w:val="single" w:sz="4" w:space="0" w:color="auto"/>
              <w:right w:val="single" w:sz="4" w:space="0" w:color="auto"/>
            </w:tcBorders>
            <w:shd w:val="clear" w:color="auto" w:fill="auto"/>
            <w:noWrap/>
            <w:vAlign w:val="center"/>
          </w:tcPr>
          <w:p w14:paraId="11D6712F" w14:textId="7C739DE8" w:rsidR="00FA6BBA" w:rsidRPr="00A74A57" w:rsidRDefault="00FA6BBA" w:rsidP="00A74A57">
            <w:pPr>
              <w:spacing w:after="0" w:line="240" w:lineRule="auto"/>
              <w:jc w:val="center"/>
              <w:rPr>
                <w:rFonts w:ascii="Calibri" w:eastAsia="Times New Roman" w:hAnsi="Calibri" w:cs="Calibri"/>
                <w:color w:val="000000"/>
              </w:rPr>
            </w:pPr>
            <w:r>
              <w:rPr>
                <w:rFonts w:ascii="Calibri" w:eastAsia="Times New Roman" w:hAnsi="Calibri" w:cs="Calibri"/>
                <w:color w:val="000000"/>
              </w:rPr>
              <w:t>Asian price</w:t>
            </w:r>
            <w:r w:rsidR="00A92ED8">
              <w:rPr>
                <w:rFonts w:ascii="Calibri" w:eastAsia="Times New Roman" w:hAnsi="Calibri" w:cs="Calibri"/>
                <w:color w:val="000000"/>
              </w:rPr>
              <w:t xml:space="preserve"> </w:t>
            </w:r>
            <w:r w:rsidR="00A92ED8" w:rsidRPr="00A74A57">
              <w:rPr>
                <w:rFonts w:ascii="Calibri" w:eastAsia="Times New Roman" w:hAnsi="Calibri" w:cs="Calibri"/>
                <w:color w:val="000000"/>
              </w:rPr>
              <w:t>($2017/</w:t>
            </w:r>
            <w:proofErr w:type="spellStart"/>
            <w:r w:rsidR="00A92ED8" w:rsidRPr="00A74A57">
              <w:rPr>
                <w:rFonts w:ascii="Calibri" w:eastAsia="Times New Roman" w:hAnsi="Calibri" w:cs="Calibri"/>
                <w:color w:val="000000"/>
              </w:rPr>
              <w:t>MBtu</w:t>
            </w:r>
            <w:proofErr w:type="spellEnd"/>
            <w:r w:rsidR="00A92ED8" w:rsidRPr="00A74A57">
              <w:rPr>
                <w:rFonts w:ascii="Calibri" w:eastAsia="Times New Roman" w:hAnsi="Calibri" w:cs="Calibri"/>
                <w:color w:val="000000"/>
              </w:rPr>
              <w:t>)</w:t>
            </w:r>
          </w:p>
        </w:tc>
        <w:tc>
          <w:tcPr>
            <w:tcW w:w="681" w:type="dxa"/>
            <w:tcBorders>
              <w:top w:val="nil"/>
              <w:left w:val="nil"/>
              <w:bottom w:val="single" w:sz="4" w:space="0" w:color="auto"/>
              <w:right w:val="single" w:sz="4" w:space="0" w:color="auto"/>
            </w:tcBorders>
            <w:shd w:val="clear" w:color="auto" w:fill="auto"/>
            <w:noWrap/>
            <w:vAlign w:val="center"/>
          </w:tcPr>
          <w:p w14:paraId="6AC0C2EE" w14:textId="31E9110C" w:rsidR="00FA6BBA" w:rsidRPr="00A74A57" w:rsidRDefault="00FA6BBA" w:rsidP="00A74A57">
            <w:pPr>
              <w:spacing w:after="0" w:line="240" w:lineRule="auto"/>
              <w:jc w:val="center"/>
              <w:rPr>
                <w:rFonts w:ascii="Calibri" w:eastAsia="Times New Roman" w:hAnsi="Calibri" w:cs="Calibri"/>
                <w:color w:val="000000"/>
              </w:rPr>
            </w:pPr>
            <w:r>
              <w:rPr>
                <w:rFonts w:ascii="Calibri" w:eastAsia="Times New Roman" w:hAnsi="Calibri" w:cs="Times New Roman"/>
                <w:color w:val="000000"/>
              </w:rPr>
              <w:t>8.5</w:t>
            </w:r>
          </w:p>
        </w:tc>
        <w:tc>
          <w:tcPr>
            <w:tcW w:w="1000" w:type="dxa"/>
            <w:tcBorders>
              <w:top w:val="nil"/>
              <w:left w:val="nil"/>
              <w:bottom w:val="single" w:sz="4" w:space="0" w:color="auto"/>
              <w:right w:val="single" w:sz="4" w:space="0" w:color="auto"/>
            </w:tcBorders>
            <w:shd w:val="clear" w:color="auto" w:fill="auto"/>
            <w:noWrap/>
            <w:vAlign w:val="center"/>
          </w:tcPr>
          <w:p w14:paraId="000320C5" w14:textId="1C7B0A81" w:rsidR="00FA6BBA" w:rsidRPr="00A74A57" w:rsidRDefault="00FA6BBA" w:rsidP="00A74A57">
            <w:pPr>
              <w:spacing w:after="0" w:line="240" w:lineRule="auto"/>
              <w:jc w:val="center"/>
              <w:rPr>
                <w:rFonts w:ascii="Calibri" w:eastAsia="Times New Roman" w:hAnsi="Calibri" w:cs="Calibri"/>
                <w:color w:val="000000"/>
              </w:rPr>
            </w:pPr>
            <w:r>
              <w:t>9.8</w:t>
            </w:r>
          </w:p>
        </w:tc>
        <w:tc>
          <w:tcPr>
            <w:tcW w:w="1146" w:type="dxa"/>
            <w:tcBorders>
              <w:top w:val="nil"/>
              <w:left w:val="nil"/>
              <w:bottom w:val="single" w:sz="4" w:space="0" w:color="auto"/>
              <w:right w:val="single" w:sz="4" w:space="0" w:color="auto"/>
            </w:tcBorders>
            <w:shd w:val="clear" w:color="auto" w:fill="auto"/>
            <w:noWrap/>
            <w:vAlign w:val="center"/>
          </w:tcPr>
          <w:p w14:paraId="130CE628" w14:textId="2CA39A23" w:rsidR="00FA6BBA" w:rsidRPr="00A74A57" w:rsidRDefault="00FA6BBA" w:rsidP="00A74A57">
            <w:pPr>
              <w:spacing w:after="0" w:line="240" w:lineRule="auto"/>
              <w:jc w:val="center"/>
              <w:rPr>
                <w:rFonts w:ascii="Calibri" w:eastAsia="Times New Roman" w:hAnsi="Calibri" w:cs="Calibri"/>
                <w:color w:val="000000"/>
              </w:rPr>
            </w:pPr>
            <w:r w:rsidRPr="00696558">
              <w:rPr>
                <w:rFonts w:ascii="Calibri" w:eastAsia="Times New Roman" w:hAnsi="Calibri" w:cs="Times New Roman"/>
                <w:color w:val="000000"/>
              </w:rPr>
              <w:t>8.5</w:t>
            </w:r>
          </w:p>
        </w:tc>
      </w:tr>
      <w:tr w:rsidR="00FA6BBA" w:rsidRPr="00A74A57" w14:paraId="2A324B68" w14:textId="77777777" w:rsidTr="008916F6">
        <w:trPr>
          <w:trHeight w:val="300"/>
          <w:jc w:val="center"/>
        </w:trPr>
        <w:tc>
          <w:tcPr>
            <w:tcW w:w="3502" w:type="dxa"/>
            <w:tcBorders>
              <w:top w:val="nil"/>
              <w:left w:val="single" w:sz="4" w:space="0" w:color="auto"/>
              <w:bottom w:val="single" w:sz="4" w:space="0" w:color="auto"/>
              <w:right w:val="single" w:sz="4" w:space="0" w:color="auto"/>
            </w:tcBorders>
            <w:shd w:val="clear" w:color="auto" w:fill="auto"/>
            <w:noWrap/>
            <w:vAlign w:val="center"/>
          </w:tcPr>
          <w:p w14:paraId="4F347277" w14:textId="3E81CA0C" w:rsidR="00FA6BBA" w:rsidRPr="00A74A57" w:rsidRDefault="00FA6BBA" w:rsidP="00A74A57">
            <w:pPr>
              <w:spacing w:after="0" w:line="240" w:lineRule="auto"/>
              <w:jc w:val="center"/>
              <w:rPr>
                <w:rFonts w:ascii="Calibri" w:eastAsia="Times New Roman" w:hAnsi="Calibri" w:cs="Calibri"/>
                <w:color w:val="000000"/>
              </w:rPr>
            </w:pPr>
            <w:r>
              <w:rPr>
                <w:rFonts w:ascii="Calibri" w:eastAsia="Times New Roman" w:hAnsi="Calibri" w:cs="Calibri"/>
                <w:color w:val="000000"/>
              </w:rPr>
              <w:t>European price</w:t>
            </w:r>
            <w:r w:rsidR="00A92ED8">
              <w:rPr>
                <w:rFonts w:ascii="Calibri" w:eastAsia="Times New Roman" w:hAnsi="Calibri" w:cs="Calibri"/>
                <w:color w:val="000000"/>
              </w:rPr>
              <w:t xml:space="preserve"> </w:t>
            </w:r>
            <w:r w:rsidR="00A92ED8" w:rsidRPr="00A74A57">
              <w:rPr>
                <w:rFonts w:ascii="Calibri" w:eastAsia="Times New Roman" w:hAnsi="Calibri" w:cs="Calibri"/>
                <w:color w:val="000000"/>
              </w:rPr>
              <w:t>($2017/</w:t>
            </w:r>
            <w:proofErr w:type="spellStart"/>
            <w:r w:rsidR="00A92ED8" w:rsidRPr="00A74A57">
              <w:rPr>
                <w:rFonts w:ascii="Calibri" w:eastAsia="Times New Roman" w:hAnsi="Calibri" w:cs="Calibri"/>
                <w:color w:val="000000"/>
              </w:rPr>
              <w:t>MBtu</w:t>
            </w:r>
            <w:proofErr w:type="spellEnd"/>
            <w:r w:rsidR="00A92ED8" w:rsidRPr="00A74A57">
              <w:rPr>
                <w:rFonts w:ascii="Calibri" w:eastAsia="Times New Roman" w:hAnsi="Calibri" w:cs="Calibri"/>
                <w:color w:val="000000"/>
              </w:rPr>
              <w:t>)</w:t>
            </w:r>
          </w:p>
        </w:tc>
        <w:tc>
          <w:tcPr>
            <w:tcW w:w="681" w:type="dxa"/>
            <w:tcBorders>
              <w:top w:val="nil"/>
              <w:left w:val="nil"/>
              <w:bottom w:val="single" w:sz="4" w:space="0" w:color="auto"/>
              <w:right w:val="single" w:sz="4" w:space="0" w:color="auto"/>
            </w:tcBorders>
            <w:shd w:val="clear" w:color="auto" w:fill="auto"/>
            <w:noWrap/>
            <w:vAlign w:val="center"/>
          </w:tcPr>
          <w:p w14:paraId="2A181FE4" w14:textId="7398F860" w:rsidR="00FA6BBA" w:rsidRPr="00A74A57" w:rsidRDefault="00FA6BBA" w:rsidP="00A74A57">
            <w:pPr>
              <w:spacing w:after="0" w:line="240" w:lineRule="auto"/>
              <w:jc w:val="center"/>
              <w:rPr>
                <w:rFonts w:ascii="Calibri" w:eastAsia="Times New Roman" w:hAnsi="Calibri" w:cs="Calibri"/>
                <w:color w:val="000000"/>
              </w:rPr>
            </w:pPr>
            <w:r>
              <w:rPr>
                <w:rFonts w:ascii="Calibri" w:eastAsia="Times New Roman" w:hAnsi="Calibri" w:cs="Times New Roman"/>
                <w:color w:val="000000"/>
              </w:rPr>
              <w:t>7.6</w:t>
            </w:r>
          </w:p>
        </w:tc>
        <w:tc>
          <w:tcPr>
            <w:tcW w:w="1000" w:type="dxa"/>
            <w:tcBorders>
              <w:top w:val="nil"/>
              <w:left w:val="nil"/>
              <w:bottom w:val="single" w:sz="4" w:space="0" w:color="auto"/>
              <w:right w:val="single" w:sz="4" w:space="0" w:color="auto"/>
            </w:tcBorders>
            <w:shd w:val="clear" w:color="auto" w:fill="auto"/>
            <w:noWrap/>
            <w:vAlign w:val="center"/>
          </w:tcPr>
          <w:p w14:paraId="7A8C2D70" w14:textId="280D6113" w:rsidR="00FA6BBA" w:rsidRPr="00A74A57" w:rsidRDefault="00FA6BBA" w:rsidP="00A74A57">
            <w:pPr>
              <w:spacing w:after="0" w:line="240" w:lineRule="auto"/>
              <w:jc w:val="center"/>
              <w:rPr>
                <w:rFonts w:ascii="Calibri" w:eastAsia="Times New Roman" w:hAnsi="Calibri" w:cs="Calibri"/>
                <w:color w:val="000000"/>
              </w:rPr>
            </w:pPr>
            <w:r>
              <w:t>7.8</w:t>
            </w:r>
          </w:p>
        </w:tc>
        <w:tc>
          <w:tcPr>
            <w:tcW w:w="1146" w:type="dxa"/>
            <w:tcBorders>
              <w:top w:val="nil"/>
              <w:left w:val="nil"/>
              <w:bottom w:val="single" w:sz="4" w:space="0" w:color="auto"/>
              <w:right w:val="single" w:sz="4" w:space="0" w:color="auto"/>
            </w:tcBorders>
            <w:shd w:val="clear" w:color="auto" w:fill="auto"/>
            <w:noWrap/>
            <w:vAlign w:val="center"/>
          </w:tcPr>
          <w:p w14:paraId="6EB82A0E" w14:textId="3296539D" w:rsidR="00FA6BBA" w:rsidRPr="00A74A57" w:rsidRDefault="00FA6BBA" w:rsidP="00A74A57">
            <w:pPr>
              <w:spacing w:after="0" w:line="240" w:lineRule="auto"/>
              <w:jc w:val="center"/>
              <w:rPr>
                <w:rFonts w:ascii="Calibri" w:eastAsia="Times New Roman" w:hAnsi="Calibri" w:cs="Calibri"/>
                <w:color w:val="000000"/>
              </w:rPr>
            </w:pPr>
            <w:r>
              <w:rPr>
                <w:rFonts w:ascii="Calibri" w:eastAsia="Times New Roman" w:hAnsi="Calibri" w:cs="Times New Roman"/>
                <w:color w:val="000000"/>
              </w:rPr>
              <w:t>7.3</w:t>
            </w:r>
          </w:p>
        </w:tc>
      </w:tr>
      <w:tr w:rsidR="00A74A57" w:rsidRPr="00A74A57" w14:paraId="5F02480D" w14:textId="77777777" w:rsidTr="008916F6">
        <w:trPr>
          <w:trHeight w:val="300"/>
          <w:jc w:val="center"/>
        </w:trPr>
        <w:tc>
          <w:tcPr>
            <w:tcW w:w="3502" w:type="dxa"/>
            <w:tcBorders>
              <w:top w:val="nil"/>
              <w:left w:val="single" w:sz="4" w:space="0" w:color="auto"/>
              <w:bottom w:val="single" w:sz="4" w:space="0" w:color="auto"/>
              <w:right w:val="single" w:sz="4" w:space="0" w:color="auto"/>
            </w:tcBorders>
            <w:shd w:val="clear" w:color="auto" w:fill="auto"/>
            <w:noWrap/>
            <w:vAlign w:val="center"/>
            <w:hideMark/>
          </w:tcPr>
          <w:p w14:paraId="7EDFD455"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Henry Hub price ($2017/</w:t>
            </w:r>
            <w:proofErr w:type="spellStart"/>
            <w:r w:rsidRPr="00A74A57">
              <w:rPr>
                <w:rFonts w:ascii="Calibri" w:eastAsia="Times New Roman" w:hAnsi="Calibri" w:cs="Calibri"/>
                <w:color w:val="000000"/>
              </w:rPr>
              <w:t>MBtu</w:t>
            </w:r>
            <w:proofErr w:type="spellEnd"/>
            <w:r w:rsidRPr="00A74A57">
              <w:rPr>
                <w:rFonts w:ascii="Calibri" w:eastAsia="Times New Roman" w:hAnsi="Calibri" w:cs="Calibri"/>
                <w:color w:val="000000"/>
              </w:rPr>
              <w:t>)</w:t>
            </w:r>
          </w:p>
        </w:tc>
        <w:tc>
          <w:tcPr>
            <w:tcW w:w="681" w:type="dxa"/>
            <w:tcBorders>
              <w:top w:val="nil"/>
              <w:left w:val="nil"/>
              <w:bottom w:val="single" w:sz="4" w:space="0" w:color="auto"/>
              <w:right w:val="single" w:sz="4" w:space="0" w:color="auto"/>
            </w:tcBorders>
            <w:shd w:val="clear" w:color="auto" w:fill="auto"/>
            <w:noWrap/>
            <w:vAlign w:val="center"/>
            <w:hideMark/>
          </w:tcPr>
          <w:p w14:paraId="6BE1BADC"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3.5</w:t>
            </w:r>
          </w:p>
        </w:tc>
        <w:tc>
          <w:tcPr>
            <w:tcW w:w="1000" w:type="dxa"/>
            <w:tcBorders>
              <w:top w:val="nil"/>
              <w:left w:val="nil"/>
              <w:bottom w:val="single" w:sz="4" w:space="0" w:color="auto"/>
              <w:right w:val="single" w:sz="4" w:space="0" w:color="auto"/>
            </w:tcBorders>
            <w:shd w:val="clear" w:color="auto" w:fill="auto"/>
            <w:noWrap/>
            <w:vAlign w:val="center"/>
            <w:hideMark/>
          </w:tcPr>
          <w:p w14:paraId="4DCA7F09"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Bold"/>
                <w:color w:val="000000"/>
              </w:rPr>
              <w:t>3.3</w:t>
            </w:r>
          </w:p>
        </w:tc>
        <w:tc>
          <w:tcPr>
            <w:tcW w:w="1146" w:type="dxa"/>
            <w:tcBorders>
              <w:top w:val="nil"/>
              <w:left w:val="nil"/>
              <w:bottom w:val="single" w:sz="4" w:space="0" w:color="auto"/>
              <w:right w:val="single" w:sz="4" w:space="0" w:color="auto"/>
            </w:tcBorders>
            <w:shd w:val="clear" w:color="auto" w:fill="auto"/>
            <w:noWrap/>
            <w:vAlign w:val="center"/>
            <w:hideMark/>
          </w:tcPr>
          <w:p w14:paraId="6C785282"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2.6</w:t>
            </w:r>
          </w:p>
        </w:tc>
      </w:tr>
      <w:tr w:rsidR="00A74A57" w:rsidRPr="00A74A57" w14:paraId="6C00AC15" w14:textId="77777777" w:rsidTr="008916F6">
        <w:trPr>
          <w:trHeight w:val="300"/>
          <w:jc w:val="center"/>
        </w:trPr>
        <w:tc>
          <w:tcPr>
            <w:tcW w:w="3502" w:type="dxa"/>
            <w:tcBorders>
              <w:top w:val="nil"/>
              <w:left w:val="single" w:sz="4" w:space="0" w:color="auto"/>
              <w:bottom w:val="single" w:sz="4" w:space="0" w:color="auto"/>
              <w:right w:val="single" w:sz="4" w:space="0" w:color="auto"/>
            </w:tcBorders>
            <w:shd w:val="clear" w:color="auto" w:fill="auto"/>
            <w:noWrap/>
            <w:vAlign w:val="center"/>
            <w:hideMark/>
          </w:tcPr>
          <w:p w14:paraId="7592FA41"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2040</w:t>
            </w:r>
          </w:p>
        </w:tc>
        <w:tc>
          <w:tcPr>
            <w:tcW w:w="681" w:type="dxa"/>
            <w:tcBorders>
              <w:top w:val="nil"/>
              <w:left w:val="nil"/>
              <w:bottom w:val="single" w:sz="4" w:space="0" w:color="auto"/>
              <w:right w:val="single" w:sz="4" w:space="0" w:color="auto"/>
            </w:tcBorders>
            <w:shd w:val="clear" w:color="auto" w:fill="auto"/>
            <w:noWrap/>
            <w:vAlign w:val="center"/>
            <w:hideMark/>
          </w:tcPr>
          <w:p w14:paraId="22978028" w14:textId="24F3BB2D" w:rsidR="00A74A57" w:rsidRPr="00A74A57" w:rsidRDefault="00D42140" w:rsidP="00A74A57">
            <w:pPr>
              <w:spacing w:after="0" w:line="240" w:lineRule="auto"/>
              <w:jc w:val="center"/>
              <w:rPr>
                <w:rFonts w:ascii="Calibri" w:eastAsia="Times New Roman" w:hAnsi="Calibri" w:cs="Calibri"/>
                <w:color w:val="000000"/>
              </w:rPr>
            </w:pPr>
            <w:r w:rsidRPr="004D6FF3">
              <w:rPr>
                <w:rFonts w:ascii="Calibri" w:eastAsia="Times New Roman" w:hAnsi="Calibri" w:cs="Times New Roman"/>
                <w:color w:val="000000"/>
              </w:rPr>
              <w:t>1616</w:t>
            </w:r>
          </w:p>
        </w:tc>
        <w:tc>
          <w:tcPr>
            <w:tcW w:w="1000" w:type="dxa"/>
            <w:tcBorders>
              <w:top w:val="nil"/>
              <w:left w:val="nil"/>
              <w:bottom w:val="single" w:sz="4" w:space="0" w:color="auto"/>
              <w:right w:val="single" w:sz="4" w:space="0" w:color="auto"/>
            </w:tcBorders>
            <w:shd w:val="clear" w:color="auto" w:fill="auto"/>
            <w:noWrap/>
            <w:vAlign w:val="center"/>
            <w:hideMark/>
          </w:tcPr>
          <w:p w14:paraId="291C51C7" w14:textId="5EE7C4E1" w:rsidR="00A74A57" w:rsidRPr="00A74A57" w:rsidRDefault="00D42140" w:rsidP="00A74A57">
            <w:pPr>
              <w:spacing w:after="0" w:line="240" w:lineRule="auto"/>
              <w:jc w:val="center"/>
              <w:rPr>
                <w:rFonts w:ascii="Calibri" w:eastAsia="Times New Roman" w:hAnsi="Calibri" w:cs="Calibri"/>
                <w:color w:val="000000"/>
              </w:rPr>
            </w:pPr>
            <w:r w:rsidRPr="00FE781F">
              <w:t>1289</w:t>
            </w:r>
          </w:p>
        </w:tc>
        <w:tc>
          <w:tcPr>
            <w:tcW w:w="1146" w:type="dxa"/>
            <w:tcBorders>
              <w:top w:val="nil"/>
              <w:left w:val="nil"/>
              <w:bottom w:val="single" w:sz="4" w:space="0" w:color="auto"/>
              <w:right w:val="single" w:sz="4" w:space="0" w:color="auto"/>
            </w:tcBorders>
            <w:shd w:val="clear" w:color="auto" w:fill="auto"/>
            <w:noWrap/>
            <w:vAlign w:val="center"/>
            <w:hideMark/>
          </w:tcPr>
          <w:p w14:paraId="3E7A1191" w14:textId="0AD4024C" w:rsidR="00A74A57" w:rsidRPr="00A74A57" w:rsidRDefault="00D42140" w:rsidP="00A74A57">
            <w:pPr>
              <w:spacing w:after="0" w:line="240" w:lineRule="auto"/>
              <w:jc w:val="center"/>
              <w:rPr>
                <w:rFonts w:ascii="Calibri" w:eastAsia="Times New Roman" w:hAnsi="Calibri" w:cs="Calibri"/>
                <w:color w:val="000000"/>
              </w:rPr>
            </w:pPr>
            <w:r w:rsidRPr="003640A8">
              <w:rPr>
                <w:rFonts w:ascii="Calibri" w:eastAsia="Times New Roman" w:hAnsi="Calibri" w:cs="Times New Roman"/>
                <w:color w:val="000000"/>
              </w:rPr>
              <w:t>1382</w:t>
            </w:r>
          </w:p>
        </w:tc>
      </w:tr>
      <w:tr w:rsidR="00A74A57" w:rsidRPr="00A74A57" w14:paraId="7FEE96B9" w14:textId="77777777" w:rsidTr="008916F6">
        <w:trPr>
          <w:trHeight w:val="300"/>
          <w:jc w:val="center"/>
        </w:trPr>
        <w:tc>
          <w:tcPr>
            <w:tcW w:w="3502" w:type="dxa"/>
            <w:tcBorders>
              <w:top w:val="nil"/>
              <w:left w:val="single" w:sz="4" w:space="0" w:color="auto"/>
              <w:bottom w:val="single" w:sz="4" w:space="0" w:color="auto"/>
              <w:right w:val="single" w:sz="4" w:space="0" w:color="auto"/>
            </w:tcBorders>
            <w:shd w:val="clear" w:color="auto" w:fill="auto"/>
            <w:noWrap/>
            <w:vAlign w:val="center"/>
            <w:hideMark/>
          </w:tcPr>
          <w:p w14:paraId="70D69B9C"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Pipeline</w:t>
            </w:r>
          </w:p>
        </w:tc>
        <w:tc>
          <w:tcPr>
            <w:tcW w:w="681" w:type="dxa"/>
            <w:tcBorders>
              <w:top w:val="nil"/>
              <w:left w:val="nil"/>
              <w:bottom w:val="single" w:sz="4" w:space="0" w:color="auto"/>
              <w:right w:val="single" w:sz="4" w:space="0" w:color="auto"/>
            </w:tcBorders>
            <w:shd w:val="clear" w:color="auto" w:fill="auto"/>
            <w:noWrap/>
            <w:vAlign w:val="center"/>
            <w:hideMark/>
          </w:tcPr>
          <w:p w14:paraId="741CA4C8"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876</w:t>
            </w:r>
          </w:p>
        </w:tc>
        <w:tc>
          <w:tcPr>
            <w:tcW w:w="1000" w:type="dxa"/>
            <w:tcBorders>
              <w:top w:val="nil"/>
              <w:left w:val="nil"/>
              <w:bottom w:val="single" w:sz="4" w:space="0" w:color="auto"/>
              <w:right w:val="single" w:sz="4" w:space="0" w:color="auto"/>
            </w:tcBorders>
            <w:shd w:val="clear" w:color="auto" w:fill="auto"/>
            <w:noWrap/>
            <w:vAlign w:val="center"/>
            <w:hideMark/>
          </w:tcPr>
          <w:p w14:paraId="09EA8944"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532</w:t>
            </w:r>
          </w:p>
        </w:tc>
        <w:tc>
          <w:tcPr>
            <w:tcW w:w="1146" w:type="dxa"/>
            <w:tcBorders>
              <w:top w:val="nil"/>
              <w:left w:val="nil"/>
              <w:bottom w:val="single" w:sz="4" w:space="0" w:color="auto"/>
              <w:right w:val="single" w:sz="4" w:space="0" w:color="auto"/>
            </w:tcBorders>
            <w:shd w:val="clear" w:color="auto" w:fill="auto"/>
            <w:noWrap/>
            <w:vAlign w:val="center"/>
            <w:hideMark/>
          </w:tcPr>
          <w:p w14:paraId="05A0ABE1"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695</w:t>
            </w:r>
          </w:p>
        </w:tc>
      </w:tr>
      <w:tr w:rsidR="00A74A57" w:rsidRPr="00A74A57" w14:paraId="0F5CAD65" w14:textId="77777777" w:rsidTr="008916F6">
        <w:trPr>
          <w:trHeight w:val="300"/>
          <w:jc w:val="center"/>
        </w:trPr>
        <w:tc>
          <w:tcPr>
            <w:tcW w:w="3502" w:type="dxa"/>
            <w:tcBorders>
              <w:top w:val="nil"/>
              <w:left w:val="single" w:sz="4" w:space="0" w:color="auto"/>
              <w:bottom w:val="single" w:sz="4" w:space="0" w:color="auto"/>
              <w:right w:val="single" w:sz="4" w:space="0" w:color="auto"/>
            </w:tcBorders>
            <w:shd w:val="clear" w:color="auto" w:fill="auto"/>
            <w:noWrap/>
            <w:vAlign w:val="center"/>
            <w:hideMark/>
          </w:tcPr>
          <w:p w14:paraId="7F193C0D"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LNG</w:t>
            </w:r>
          </w:p>
        </w:tc>
        <w:tc>
          <w:tcPr>
            <w:tcW w:w="681" w:type="dxa"/>
            <w:tcBorders>
              <w:top w:val="nil"/>
              <w:left w:val="nil"/>
              <w:bottom w:val="single" w:sz="4" w:space="0" w:color="auto"/>
              <w:right w:val="single" w:sz="4" w:space="0" w:color="auto"/>
            </w:tcBorders>
            <w:shd w:val="clear" w:color="auto" w:fill="auto"/>
            <w:noWrap/>
            <w:vAlign w:val="center"/>
            <w:hideMark/>
          </w:tcPr>
          <w:p w14:paraId="0621C0E1"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719</w:t>
            </w:r>
          </w:p>
        </w:tc>
        <w:tc>
          <w:tcPr>
            <w:tcW w:w="1000" w:type="dxa"/>
            <w:tcBorders>
              <w:top w:val="nil"/>
              <w:left w:val="nil"/>
              <w:bottom w:val="single" w:sz="4" w:space="0" w:color="auto"/>
              <w:right w:val="single" w:sz="4" w:space="0" w:color="auto"/>
            </w:tcBorders>
            <w:shd w:val="clear" w:color="auto" w:fill="auto"/>
            <w:noWrap/>
            <w:vAlign w:val="center"/>
            <w:hideMark/>
          </w:tcPr>
          <w:p w14:paraId="57F1187B"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757</w:t>
            </w:r>
          </w:p>
        </w:tc>
        <w:tc>
          <w:tcPr>
            <w:tcW w:w="1146" w:type="dxa"/>
            <w:tcBorders>
              <w:top w:val="nil"/>
              <w:left w:val="nil"/>
              <w:bottom w:val="single" w:sz="4" w:space="0" w:color="auto"/>
              <w:right w:val="single" w:sz="4" w:space="0" w:color="auto"/>
            </w:tcBorders>
            <w:shd w:val="clear" w:color="auto" w:fill="auto"/>
            <w:noWrap/>
            <w:vAlign w:val="center"/>
            <w:hideMark/>
          </w:tcPr>
          <w:p w14:paraId="57450EFC"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661</w:t>
            </w:r>
          </w:p>
        </w:tc>
      </w:tr>
      <w:tr w:rsidR="00FA6BBA" w:rsidRPr="00A74A57" w14:paraId="4C036E5F" w14:textId="77777777" w:rsidTr="008916F6">
        <w:trPr>
          <w:trHeight w:val="300"/>
          <w:jc w:val="center"/>
        </w:trPr>
        <w:tc>
          <w:tcPr>
            <w:tcW w:w="3502" w:type="dxa"/>
            <w:tcBorders>
              <w:top w:val="nil"/>
              <w:left w:val="single" w:sz="4" w:space="0" w:color="auto"/>
              <w:bottom w:val="single" w:sz="4" w:space="0" w:color="auto"/>
              <w:right w:val="single" w:sz="4" w:space="0" w:color="auto"/>
            </w:tcBorders>
            <w:shd w:val="clear" w:color="auto" w:fill="auto"/>
            <w:noWrap/>
            <w:vAlign w:val="center"/>
          </w:tcPr>
          <w:p w14:paraId="1A829B5C" w14:textId="516E48F8" w:rsidR="00FA6BBA" w:rsidRPr="00A74A57" w:rsidRDefault="00FA6BBA" w:rsidP="00FA6BBA">
            <w:pPr>
              <w:spacing w:after="0" w:line="240" w:lineRule="auto"/>
              <w:jc w:val="center"/>
              <w:rPr>
                <w:rFonts w:ascii="Calibri" w:eastAsia="Times New Roman" w:hAnsi="Calibri" w:cs="Calibri"/>
                <w:color w:val="000000"/>
              </w:rPr>
            </w:pPr>
            <w:r>
              <w:rPr>
                <w:rFonts w:ascii="Calibri" w:eastAsia="Times New Roman" w:hAnsi="Calibri" w:cs="Calibri"/>
                <w:color w:val="000000"/>
              </w:rPr>
              <w:t>Asian price</w:t>
            </w:r>
            <w:r w:rsidR="00A92ED8">
              <w:rPr>
                <w:rFonts w:ascii="Calibri" w:eastAsia="Times New Roman" w:hAnsi="Calibri" w:cs="Calibri"/>
                <w:color w:val="000000"/>
              </w:rPr>
              <w:t xml:space="preserve"> </w:t>
            </w:r>
            <w:r w:rsidR="00A92ED8" w:rsidRPr="00A74A57">
              <w:rPr>
                <w:rFonts w:ascii="Calibri" w:eastAsia="Times New Roman" w:hAnsi="Calibri" w:cs="Calibri"/>
                <w:color w:val="000000"/>
              </w:rPr>
              <w:t>($2017/</w:t>
            </w:r>
            <w:proofErr w:type="spellStart"/>
            <w:r w:rsidR="00A92ED8" w:rsidRPr="00A74A57">
              <w:rPr>
                <w:rFonts w:ascii="Calibri" w:eastAsia="Times New Roman" w:hAnsi="Calibri" w:cs="Calibri"/>
                <w:color w:val="000000"/>
              </w:rPr>
              <w:t>MBtu</w:t>
            </w:r>
            <w:proofErr w:type="spellEnd"/>
            <w:r w:rsidR="00A92ED8" w:rsidRPr="00A74A57">
              <w:rPr>
                <w:rFonts w:ascii="Calibri" w:eastAsia="Times New Roman" w:hAnsi="Calibri" w:cs="Calibri"/>
                <w:color w:val="000000"/>
              </w:rPr>
              <w:t>)</w:t>
            </w:r>
          </w:p>
        </w:tc>
        <w:tc>
          <w:tcPr>
            <w:tcW w:w="681" w:type="dxa"/>
            <w:tcBorders>
              <w:top w:val="nil"/>
              <w:left w:val="nil"/>
              <w:bottom w:val="single" w:sz="4" w:space="0" w:color="auto"/>
              <w:right w:val="single" w:sz="4" w:space="0" w:color="auto"/>
            </w:tcBorders>
            <w:shd w:val="clear" w:color="auto" w:fill="auto"/>
            <w:noWrap/>
            <w:vAlign w:val="center"/>
          </w:tcPr>
          <w:p w14:paraId="1F8EC8AE" w14:textId="44A9F161" w:rsidR="00FA6BBA" w:rsidRPr="00A74A57" w:rsidRDefault="00FA6BBA" w:rsidP="00FA6BBA">
            <w:pPr>
              <w:spacing w:after="0" w:line="240" w:lineRule="auto"/>
              <w:jc w:val="center"/>
              <w:rPr>
                <w:rFonts w:ascii="Calibri" w:eastAsia="Times New Roman" w:hAnsi="Calibri" w:cs="Calibri"/>
                <w:color w:val="000000"/>
              </w:rPr>
            </w:pPr>
            <w:r>
              <w:rPr>
                <w:rFonts w:ascii="Calibri" w:eastAsia="Times New Roman" w:hAnsi="Calibri" w:cs="Times New Roman"/>
                <w:color w:val="000000"/>
              </w:rPr>
              <w:t>9.9</w:t>
            </w:r>
          </w:p>
        </w:tc>
        <w:tc>
          <w:tcPr>
            <w:tcW w:w="1000" w:type="dxa"/>
            <w:tcBorders>
              <w:top w:val="nil"/>
              <w:left w:val="nil"/>
              <w:bottom w:val="single" w:sz="4" w:space="0" w:color="auto"/>
              <w:right w:val="single" w:sz="4" w:space="0" w:color="auto"/>
            </w:tcBorders>
            <w:shd w:val="clear" w:color="auto" w:fill="auto"/>
            <w:noWrap/>
            <w:vAlign w:val="center"/>
          </w:tcPr>
          <w:p w14:paraId="43B56DCA" w14:textId="3C295900" w:rsidR="00FA6BBA" w:rsidRPr="00A74A57" w:rsidRDefault="00FA6BBA" w:rsidP="00FA6BBA">
            <w:pPr>
              <w:spacing w:after="0" w:line="240" w:lineRule="auto"/>
              <w:jc w:val="center"/>
              <w:rPr>
                <w:rFonts w:ascii="Calibri" w:eastAsia="Times New Roman" w:hAnsi="Calibri" w:cs="Calibri-Bold"/>
                <w:color w:val="000000"/>
              </w:rPr>
            </w:pPr>
            <w:r>
              <w:t>10.1</w:t>
            </w:r>
          </w:p>
        </w:tc>
        <w:tc>
          <w:tcPr>
            <w:tcW w:w="1146" w:type="dxa"/>
            <w:tcBorders>
              <w:top w:val="nil"/>
              <w:left w:val="nil"/>
              <w:bottom w:val="single" w:sz="4" w:space="0" w:color="auto"/>
              <w:right w:val="single" w:sz="4" w:space="0" w:color="auto"/>
            </w:tcBorders>
            <w:shd w:val="clear" w:color="auto" w:fill="auto"/>
            <w:noWrap/>
            <w:vAlign w:val="center"/>
          </w:tcPr>
          <w:p w14:paraId="2241A92A" w14:textId="3272FCDC" w:rsidR="00FA6BBA" w:rsidRPr="00A74A57" w:rsidRDefault="00FA6BBA" w:rsidP="00FA6BBA">
            <w:pPr>
              <w:spacing w:after="0" w:line="240" w:lineRule="auto"/>
              <w:jc w:val="center"/>
              <w:rPr>
                <w:rFonts w:ascii="Calibri" w:eastAsia="Times New Roman" w:hAnsi="Calibri" w:cs="Calibri"/>
                <w:color w:val="000000"/>
              </w:rPr>
            </w:pPr>
            <w:r>
              <w:rPr>
                <w:rFonts w:ascii="Calibri" w:eastAsia="Times New Roman" w:hAnsi="Calibri" w:cs="Times New Roman"/>
                <w:color w:val="000000"/>
              </w:rPr>
              <w:t>12.5</w:t>
            </w:r>
          </w:p>
        </w:tc>
      </w:tr>
      <w:tr w:rsidR="00FA6BBA" w:rsidRPr="00A74A57" w14:paraId="65B11D75" w14:textId="77777777" w:rsidTr="008916F6">
        <w:trPr>
          <w:trHeight w:val="300"/>
          <w:jc w:val="center"/>
        </w:trPr>
        <w:tc>
          <w:tcPr>
            <w:tcW w:w="3502" w:type="dxa"/>
            <w:tcBorders>
              <w:top w:val="nil"/>
              <w:left w:val="single" w:sz="4" w:space="0" w:color="auto"/>
              <w:bottom w:val="single" w:sz="4" w:space="0" w:color="auto"/>
              <w:right w:val="single" w:sz="4" w:space="0" w:color="auto"/>
            </w:tcBorders>
            <w:shd w:val="clear" w:color="auto" w:fill="auto"/>
            <w:noWrap/>
            <w:vAlign w:val="center"/>
          </w:tcPr>
          <w:p w14:paraId="29BF2E87" w14:textId="2E099811" w:rsidR="00FA6BBA" w:rsidRPr="00A74A57" w:rsidRDefault="00FA6BBA" w:rsidP="00FA6BBA">
            <w:pPr>
              <w:spacing w:after="0" w:line="240" w:lineRule="auto"/>
              <w:jc w:val="center"/>
              <w:rPr>
                <w:rFonts w:ascii="Calibri" w:eastAsia="Times New Roman" w:hAnsi="Calibri" w:cs="Calibri"/>
                <w:color w:val="000000"/>
              </w:rPr>
            </w:pPr>
            <w:r>
              <w:rPr>
                <w:rFonts w:ascii="Calibri" w:eastAsia="Times New Roman" w:hAnsi="Calibri" w:cs="Calibri"/>
                <w:color w:val="000000"/>
              </w:rPr>
              <w:t>European price</w:t>
            </w:r>
            <w:r w:rsidR="00A92ED8">
              <w:rPr>
                <w:rFonts w:ascii="Calibri" w:eastAsia="Times New Roman" w:hAnsi="Calibri" w:cs="Calibri"/>
                <w:color w:val="000000"/>
              </w:rPr>
              <w:t xml:space="preserve"> </w:t>
            </w:r>
            <w:r w:rsidR="00A92ED8" w:rsidRPr="00A74A57">
              <w:rPr>
                <w:rFonts w:ascii="Calibri" w:eastAsia="Times New Roman" w:hAnsi="Calibri" w:cs="Calibri"/>
                <w:color w:val="000000"/>
              </w:rPr>
              <w:t>($2017/</w:t>
            </w:r>
            <w:proofErr w:type="spellStart"/>
            <w:r w:rsidR="00A92ED8" w:rsidRPr="00A74A57">
              <w:rPr>
                <w:rFonts w:ascii="Calibri" w:eastAsia="Times New Roman" w:hAnsi="Calibri" w:cs="Calibri"/>
                <w:color w:val="000000"/>
              </w:rPr>
              <w:t>MBtu</w:t>
            </w:r>
            <w:proofErr w:type="spellEnd"/>
            <w:r w:rsidR="00A92ED8" w:rsidRPr="00A74A57">
              <w:rPr>
                <w:rFonts w:ascii="Calibri" w:eastAsia="Times New Roman" w:hAnsi="Calibri" w:cs="Calibri"/>
                <w:color w:val="000000"/>
              </w:rPr>
              <w:t>)</w:t>
            </w:r>
          </w:p>
        </w:tc>
        <w:tc>
          <w:tcPr>
            <w:tcW w:w="681" w:type="dxa"/>
            <w:tcBorders>
              <w:top w:val="nil"/>
              <w:left w:val="nil"/>
              <w:bottom w:val="single" w:sz="4" w:space="0" w:color="auto"/>
              <w:right w:val="single" w:sz="4" w:space="0" w:color="auto"/>
            </w:tcBorders>
            <w:shd w:val="clear" w:color="auto" w:fill="auto"/>
            <w:noWrap/>
            <w:vAlign w:val="center"/>
          </w:tcPr>
          <w:p w14:paraId="2668ABA4" w14:textId="469DDD32" w:rsidR="00FA6BBA" w:rsidRPr="00A74A57" w:rsidRDefault="00FA6BBA" w:rsidP="00FA6BBA">
            <w:pPr>
              <w:spacing w:after="0" w:line="240" w:lineRule="auto"/>
              <w:jc w:val="center"/>
              <w:rPr>
                <w:rFonts w:ascii="Calibri" w:eastAsia="Times New Roman" w:hAnsi="Calibri" w:cs="Calibri"/>
                <w:color w:val="000000"/>
              </w:rPr>
            </w:pPr>
            <w:r>
              <w:rPr>
                <w:rFonts w:ascii="Calibri" w:eastAsia="Times New Roman" w:hAnsi="Calibri" w:cs="Times New Roman"/>
                <w:color w:val="000000"/>
              </w:rPr>
              <w:t>9.5</w:t>
            </w:r>
          </w:p>
        </w:tc>
        <w:tc>
          <w:tcPr>
            <w:tcW w:w="1000" w:type="dxa"/>
            <w:tcBorders>
              <w:top w:val="nil"/>
              <w:left w:val="nil"/>
              <w:bottom w:val="single" w:sz="4" w:space="0" w:color="auto"/>
              <w:right w:val="single" w:sz="4" w:space="0" w:color="auto"/>
            </w:tcBorders>
            <w:shd w:val="clear" w:color="auto" w:fill="auto"/>
            <w:noWrap/>
            <w:vAlign w:val="center"/>
          </w:tcPr>
          <w:p w14:paraId="188D67B4" w14:textId="19483882" w:rsidR="00FA6BBA" w:rsidRPr="00A74A57" w:rsidRDefault="00FA6BBA" w:rsidP="00FA6BBA">
            <w:pPr>
              <w:spacing w:after="0" w:line="240" w:lineRule="auto"/>
              <w:jc w:val="center"/>
              <w:rPr>
                <w:rFonts w:ascii="Calibri" w:eastAsia="Times New Roman" w:hAnsi="Calibri" w:cs="Calibri-Bold"/>
                <w:color w:val="000000"/>
              </w:rPr>
            </w:pPr>
            <w:r>
              <w:t>9.0</w:t>
            </w:r>
          </w:p>
        </w:tc>
        <w:tc>
          <w:tcPr>
            <w:tcW w:w="1146" w:type="dxa"/>
            <w:tcBorders>
              <w:top w:val="nil"/>
              <w:left w:val="nil"/>
              <w:bottom w:val="single" w:sz="4" w:space="0" w:color="auto"/>
              <w:right w:val="single" w:sz="4" w:space="0" w:color="auto"/>
            </w:tcBorders>
            <w:shd w:val="clear" w:color="auto" w:fill="auto"/>
            <w:noWrap/>
            <w:vAlign w:val="center"/>
          </w:tcPr>
          <w:p w14:paraId="03D035EB" w14:textId="005B4198" w:rsidR="00FA6BBA" w:rsidRPr="00A74A57" w:rsidRDefault="00FA6BBA" w:rsidP="00FA6BBA">
            <w:pPr>
              <w:spacing w:after="0" w:line="240" w:lineRule="auto"/>
              <w:jc w:val="center"/>
              <w:rPr>
                <w:rFonts w:ascii="Calibri" w:eastAsia="Times New Roman" w:hAnsi="Calibri" w:cs="Calibri"/>
                <w:color w:val="000000"/>
              </w:rPr>
            </w:pPr>
            <w:r>
              <w:rPr>
                <w:rFonts w:ascii="Calibri" w:eastAsia="Times New Roman" w:hAnsi="Calibri" w:cs="Times New Roman"/>
                <w:color w:val="000000"/>
              </w:rPr>
              <w:t>10.7</w:t>
            </w:r>
          </w:p>
        </w:tc>
      </w:tr>
      <w:tr w:rsidR="00A74A57" w:rsidRPr="00A74A57" w14:paraId="08863D09" w14:textId="77777777" w:rsidTr="008916F6">
        <w:trPr>
          <w:trHeight w:val="300"/>
          <w:jc w:val="center"/>
        </w:trPr>
        <w:tc>
          <w:tcPr>
            <w:tcW w:w="3502" w:type="dxa"/>
            <w:tcBorders>
              <w:top w:val="nil"/>
              <w:left w:val="single" w:sz="4" w:space="0" w:color="auto"/>
              <w:bottom w:val="single" w:sz="4" w:space="0" w:color="auto"/>
              <w:right w:val="single" w:sz="4" w:space="0" w:color="auto"/>
            </w:tcBorders>
            <w:shd w:val="clear" w:color="auto" w:fill="auto"/>
            <w:noWrap/>
            <w:vAlign w:val="center"/>
            <w:hideMark/>
          </w:tcPr>
          <w:p w14:paraId="7174B8FB"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Henry Hub price ($2017/</w:t>
            </w:r>
            <w:proofErr w:type="spellStart"/>
            <w:r w:rsidRPr="00A74A57">
              <w:rPr>
                <w:rFonts w:ascii="Calibri" w:eastAsia="Times New Roman" w:hAnsi="Calibri" w:cs="Calibri"/>
                <w:color w:val="000000"/>
              </w:rPr>
              <w:t>MBtu</w:t>
            </w:r>
            <w:proofErr w:type="spellEnd"/>
            <w:r w:rsidRPr="00A74A57">
              <w:rPr>
                <w:rFonts w:ascii="Calibri" w:eastAsia="Times New Roman" w:hAnsi="Calibri" w:cs="Calibri"/>
                <w:color w:val="000000"/>
              </w:rPr>
              <w:t>)</w:t>
            </w:r>
          </w:p>
        </w:tc>
        <w:tc>
          <w:tcPr>
            <w:tcW w:w="681" w:type="dxa"/>
            <w:tcBorders>
              <w:top w:val="nil"/>
              <w:left w:val="nil"/>
              <w:bottom w:val="single" w:sz="4" w:space="0" w:color="auto"/>
              <w:right w:val="single" w:sz="4" w:space="0" w:color="auto"/>
            </w:tcBorders>
            <w:shd w:val="clear" w:color="auto" w:fill="auto"/>
            <w:noWrap/>
            <w:vAlign w:val="center"/>
            <w:hideMark/>
          </w:tcPr>
          <w:p w14:paraId="25E9655A"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4.8</w:t>
            </w:r>
          </w:p>
        </w:tc>
        <w:tc>
          <w:tcPr>
            <w:tcW w:w="1000" w:type="dxa"/>
            <w:tcBorders>
              <w:top w:val="nil"/>
              <w:left w:val="nil"/>
              <w:bottom w:val="single" w:sz="4" w:space="0" w:color="auto"/>
              <w:right w:val="single" w:sz="4" w:space="0" w:color="auto"/>
            </w:tcBorders>
            <w:shd w:val="clear" w:color="auto" w:fill="auto"/>
            <w:noWrap/>
            <w:vAlign w:val="center"/>
            <w:hideMark/>
          </w:tcPr>
          <w:p w14:paraId="05E20464"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Bold"/>
                <w:color w:val="000000"/>
              </w:rPr>
              <w:t>4.9</w:t>
            </w:r>
          </w:p>
        </w:tc>
        <w:tc>
          <w:tcPr>
            <w:tcW w:w="1146" w:type="dxa"/>
            <w:tcBorders>
              <w:top w:val="nil"/>
              <w:left w:val="nil"/>
              <w:bottom w:val="single" w:sz="4" w:space="0" w:color="auto"/>
              <w:right w:val="single" w:sz="4" w:space="0" w:color="auto"/>
            </w:tcBorders>
            <w:shd w:val="clear" w:color="auto" w:fill="auto"/>
            <w:noWrap/>
            <w:vAlign w:val="center"/>
            <w:hideMark/>
          </w:tcPr>
          <w:p w14:paraId="4ACF29DF" w14:textId="77777777" w:rsidR="00A74A57" w:rsidRPr="00A74A57" w:rsidRDefault="00A74A57" w:rsidP="00A74A57">
            <w:pPr>
              <w:spacing w:after="0" w:line="240" w:lineRule="auto"/>
              <w:jc w:val="center"/>
              <w:rPr>
                <w:rFonts w:ascii="Calibri" w:eastAsia="Times New Roman" w:hAnsi="Calibri" w:cs="Calibri"/>
                <w:color w:val="000000"/>
              </w:rPr>
            </w:pPr>
            <w:r w:rsidRPr="00A74A57">
              <w:rPr>
                <w:rFonts w:ascii="Calibri" w:eastAsia="Times New Roman" w:hAnsi="Calibri" w:cs="Calibri"/>
                <w:color w:val="000000"/>
              </w:rPr>
              <w:t>5.1</w:t>
            </w:r>
          </w:p>
        </w:tc>
      </w:tr>
    </w:tbl>
    <w:p w14:paraId="71BC03DF" w14:textId="39D67850" w:rsidR="006C5FBC" w:rsidRPr="006C5FBC" w:rsidRDefault="006C5FBC" w:rsidP="006C5FBC">
      <w:pPr>
        <w:pStyle w:val="Caption"/>
        <w:spacing w:after="160"/>
        <w:contextualSpacing/>
        <w:rPr>
          <w:rFonts w:ascii="Calibri Light" w:eastAsia="Calibri" w:hAnsi="Calibri Light" w:cs="Arial"/>
          <w:sz w:val="16"/>
          <w:szCs w:val="16"/>
          <w:lang w:val="en-AU" w:eastAsia="ja-JP"/>
        </w:rPr>
      </w:pPr>
      <w:r w:rsidRPr="006C5FBC">
        <w:rPr>
          <w:rFonts w:ascii="Calibri Light" w:eastAsia="Calibri" w:hAnsi="Calibri Light" w:cs="Arial"/>
          <w:sz w:val="16"/>
          <w:szCs w:val="16"/>
          <w:lang w:val="en-AU" w:eastAsia="ja-JP"/>
        </w:rPr>
        <w:t>Source:</w:t>
      </w:r>
      <w:r>
        <w:rPr>
          <w:rFonts w:ascii="Calibri Light" w:eastAsia="Calibri" w:hAnsi="Calibri Light" w:cs="Arial"/>
          <w:sz w:val="16"/>
          <w:szCs w:val="16"/>
          <w:lang w:val="en-AU" w:eastAsia="ja-JP"/>
        </w:rPr>
        <w:t xml:space="preserve"> </w:t>
      </w:r>
      <w:r w:rsidRPr="005D128B">
        <w:rPr>
          <w:rFonts w:ascii="Calibri Light" w:eastAsia="Calibri" w:hAnsi="Calibri Light" w:cs="Arial"/>
          <w:sz w:val="16"/>
          <w:szCs w:val="16"/>
          <w:lang w:val="en-AU" w:eastAsia="ja-JP"/>
        </w:rPr>
        <w:t>GECF Secretar</w:t>
      </w:r>
      <w:r>
        <w:rPr>
          <w:rFonts w:ascii="Calibri Light" w:eastAsia="Calibri" w:hAnsi="Calibri Light" w:cs="Arial"/>
          <w:sz w:val="16"/>
          <w:szCs w:val="16"/>
          <w:lang w:val="en-AU" w:eastAsia="ja-JP"/>
        </w:rPr>
        <w:t>iat based on data from GECF GGM,</w:t>
      </w:r>
      <w:r w:rsidRPr="006C5FBC">
        <w:rPr>
          <w:rFonts w:ascii="Calibri Light" w:eastAsia="Calibri" w:hAnsi="Calibri Light" w:cs="Arial"/>
          <w:sz w:val="16"/>
          <w:szCs w:val="16"/>
          <w:lang w:val="en-AU" w:eastAsia="ja-JP"/>
        </w:rPr>
        <w:t xml:space="preserve"> IEA WEO 2018</w:t>
      </w:r>
      <w:r>
        <w:rPr>
          <w:rFonts w:ascii="Calibri Light" w:eastAsia="Calibri" w:hAnsi="Calibri Light" w:cs="Arial"/>
          <w:sz w:val="16"/>
          <w:szCs w:val="16"/>
          <w:lang w:val="en-AU" w:eastAsia="ja-JP"/>
        </w:rPr>
        <w:t>, Wood Mackenzie’s Global Gas Service Base Case H2 2018</w:t>
      </w:r>
    </w:p>
    <w:p w14:paraId="42F62CB4" w14:textId="791DC722" w:rsidR="00765F0E" w:rsidRPr="006C5FBC" w:rsidRDefault="00765F0E" w:rsidP="00861804">
      <w:pPr>
        <w:rPr>
          <w:lang w:val="en-AU"/>
        </w:rPr>
      </w:pPr>
    </w:p>
    <w:p w14:paraId="09EC2BE9" w14:textId="3DCA396F" w:rsidR="00DA5D19" w:rsidRDefault="00370C77" w:rsidP="002B1FCB">
      <w:pPr>
        <w:jc w:val="lowKashida"/>
      </w:pPr>
      <w:r>
        <w:t xml:space="preserve">It is worth noting that despite the difference between trade flows, the price projections remain almost at the same levels. Moreover, along with all description for “oversupply” that is provided by IEA and </w:t>
      </w:r>
      <w:proofErr w:type="spellStart"/>
      <w:r>
        <w:t>WoodMac</w:t>
      </w:r>
      <w:proofErr w:type="spellEnd"/>
      <w:r>
        <w:t xml:space="preserve">, the prices are resilient in 2025, being on a rising trend as compared to 2017. </w:t>
      </w:r>
      <w:r w:rsidR="002F5C75">
        <w:t>The</w:t>
      </w:r>
      <w:r w:rsidR="002B1FCB">
        <w:t xml:space="preserve"> </w:t>
      </w:r>
      <w:r w:rsidR="00EF11A7">
        <w:t xml:space="preserve">difference in </w:t>
      </w:r>
      <w:r w:rsidR="002F5C75">
        <w:t xml:space="preserve">the </w:t>
      </w:r>
      <w:r w:rsidR="00EF11A7">
        <w:t>LNG outlook</w:t>
      </w:r>
      <w:r w:rsidR="00D114AB">
        <w:t>s</w:t>
      </w:r>
      <w:r w:rsidR="00EF11A7">
        <w:t xml:space="preserve"> </w:t>
      </w:r>
      <w:proofErr w:type="gramStart"/>
      <w:r w:rsidR="002B1FCB">
        <w:t>can be attributed</w:t>
      </w:r>
      <w:proofErr w:type="gramEnd"/>
      <w:r w:rsidR="002B1FCB">
        <w:t xml:space="preserve"> to </w:t>
      </w:r>
      <w:r w:rsidR="00D114AB">
        <w:t xml:space="preserve">different methodologies, but also to </w:t>
      </w:r>
      <w:r w:rsidR="002B1FCB">
        <w:t>very different perception of LNG facility financing models implemented in the last wave of projects</w:t>
      </w:r>
      <w:r w:rsidR="00DB75C1">
        <w:t>, and national priorities</w:t>
      </w:r>
      <w:r w:rsidR="002B1FCB">
        <w:t xml:space="preserve">. </w:t>
      </w:r>
    </w:p>
    <w:p w14:paraId="22423CB0" w14:textId="41B2AAED" w:rsidR="00D114AB" w:rsidRDefault="00D114AB" w:rsidP="002B1FCB">
      <w:pPr>
        <w:jc w:val="lowKashida"/>
      </w:pPr>
      <w:r>
        <w:t xml:space="preserve">Concerning the methodological differences, estimates of pipeline trade for 2017 are 706 </w:t>
      </w:r>
      <w:proofErr w:type="spellStart"/>
      <w:r>
        <w:t>bcm</w:t>
      </w:r>
      <w:proofErr w:type="spellEnd"/>
      <w:r>
        <w:t xml:space="preserve"> at </w:t>
      </w:r>
      <w:r w:rsidR="00883D56">
        <w:t xml:space="preserve">the </w:t>
      </w:r>
      <w:r>
        <w:t xml:space="preserve">GECF and 447 </w:t>
      </w:r>
      <w:proofErr w:type="spellStart"/>
      <w:r>
        <w:t>bcm</w:t>
      </w:r>
      <w:proofErr w:type="spellEnd"/>
      <w:r>
        <w:t xml:space="preserve"> at </w:t>
      </w:r>
      <w:r w:rsidR="00883D56">
        <w:t xml:space="preserve">the </w:t>
      </w:r>
      <w:r>
        <w:t xml:space="preserve">IEA. This </w:t>
      </w:r>
      <w:proofErr w:type="gramStart"/>
      <w:r>
        <w:t xml:space="preserve">260 </w:t>
      </w:r>
      <w:proofErr w:type="spellStart"/>
      <w:r>
        <w:t>bcm</w:t>
      </w:r>
      <w:proofErr w:type="spellEnd"/>
      <w:proofErr w:type="gramEnd"/>
      <w:r>
        <w:t xml:space="preserve"> difference is due to the fact that IEA only measures inter-regional trade flows, while GECF measures trade flows on a country basis. For LNG trade, which is dominantly inter-regional, the difference is mere </w:t>
      </w:r>
      <w:r w:rsidR="00883D56">
        <w:t xml:space="preserve">65 </w:t>
      </w:r>
      <w:proofErr w:type="spellStart"/>
      <w:r w:rsidR="00883D56">
        <w:t>bcm</w:t>
      </w:r>
      <w:proofErr w:type="spellEnd"/>
      <w:r w:rsidR="00883D56">
        <w:t xml:space="preserve">, 388 </w:t>
      </w:r>
      <w:proofErr w:type="spellStart"/>
      <w:r w:rsidR="00883D56">
        <w:t>bcm</w:t>
      </w:r>
      <w:proofErr w:type="spellEnd"/>
      <w:r w:rsidR="00883D56">
        <w:t xml:space="preserve"> at the GECF vs 323 </w:t>
      </w:r>
      <w:proofErr w:type="spellStart"/>
      <w:r w:rsidR="00883D56">
        <w:t>bcm</w:t>
      </w:r>
      <w:proofErr w:type="spellEnd"/>
      <w:r w:rsidR="00883D56">
        <w:t xml:space="preserve"> at the IEA.</w:t>
      </w:r>
      <w:r w:rsidR="00CA5786">
        <w:t xml:space="preserve"> Still, this difference </w:t>
      </w:r>
      <w:proofErr w:type="gramStart"/>
      <w:r w:rsidR="00CA5786">
        <w:lastRenderedPageBreak/>
        <w:t>is compressed</w:t>
      </w:r>
      <w:proofErr w:type="gramEnd"/>
      <w:r w:rsidR="00CA5786">
        <w:t xml:space="preserve"> to 230 </w:t>
      </w:r>
      <w:proofErr w:type="spellStart"/>
      <w:r w:rsidR="00CA5786">
        <w:t>bcm</w:t>
      </w:r>
      <w:proofErr w:type="spellEnd"/>
      <w:r w:rsidR="00CA5786">
        <w:t xml:space="preserve"> for pipeline and 27 </w:t>
      </w:r>
      <w:proofErr w:type="spellStart"/>
      <w:r w:rsidR="00CA5786">
        <w:t>bcm</w:t>
      </w:r>
      <w:proofErr w:type="spellEnd"/>
      <w:r w:rsidR="00CA5786">
        <w:t xml:space="preserve"> for LNG by 2025, as </w:t>
      </w:r>
      <w:r w:rsidR="00A77AF5">
        <w:t xml:space="preserve">IEA envisions more rapid natural gas trade expansion, especially for </w:t>
      </w:r>
      <w:r w:rsidR="00DE60E4">
        <w:t>pipeline</w:t>
      </w:r>
      <w:r w:rsidR="00A77AF5">
        <w:t>.</w:t>
      </w:r>
      <w:r w:rsidR="006F49D2">
        <w:t xml:space="preserve"> </w:t>
      </w:r>
    </w:p>
    <w:p w14:paraId="192BDC77" w14:textId="1923418A" w:rsidR="002B1FCB" w:rsidRPr="00170610" w:rsidRDefault="00640A87" w:rsidP="002B1FCB">
      <w:pPr>
        <w:jc w:val="lowKashida"/>
      </w:pPr>
      <w:r>
        <w:t>Concerning the assumptions on national gas policies, f</w:t>
      </w:r>
      <w:r w:rsidR="00DB75C1">
        <w:t xml:space="preserve">or GECF forecast, </w:t>
      </w:r>
      <w:r w:rsidR="00DA5D19">
        <w:t xml:space="preserve">national priorities for </w:t>
      </w:r>
      <w:r w:rsidR="00DB75C1">
        <w:t xml:space="preserve">maximizing indigenous production </w:t>
      </w:r>
      <w:r w:rsidR="00DA5D19">
        <w:t>are</w:t>
      </w:r>
      <w:r w:rsidR="00DB75C1">
        <w:t xml:space="preserve"> paramount, even in case some </w:t>
      </w:r>
      <w:r w:rsidR="00DA5D19">
        <w:t xml:space="preserve">obvious </w:t>
      </w:r>
      <w:r w:rsidR="00DB75C1">
        <w:t xml:space="preserve">hurdles exist. </w:t>
      </w:r>
      <w:r w:rsidR="009D525C">
        <w:t xml:space="preserve">This gives a different outlook for market configuration. </w:t>
      </w:r>
      <w:r w:rsidR="00515992">
        <w:t xml:space="preserve">In developing Asia, the case in point, Chinese production is estimated at extra 30 </w:t>
      </w:r>
      <w:proofErr w:type="spellStart"/>
      <w:r w:rsidR="00515992">
        <w:t>bcm</w:t>
      </w:r>
      <w:proofErr w:type="spellEnd"/>
      <w:r w:rsidR="00515992">
        <w:t xml:space="preserve"> higher by 2025 and by 60 </w:t>
      </w:r>
      <w:proofErr w:type="spellStart"/>
      <w:r w:rsidR="00515992">
        <w:t>bcm</w:t>
      </w:r>
      <w:proofErr w:type="spellEnd"/>
      <w:r w:rsidR="00515992">
        <w:t xml:space="preserve"> higher by 2040 compared to IEA forecast</w:t>
      </w:r>
      <w:r w:rsidR="00DA5D19">
        <w:t xml:space="preserve">, even as demand is about 90 </w:t>
      </w:r>
      <w:proofErr w:type="spellStart"/>
      <w:r w:rsidR="00DA5D19">
        <w:t>bcm</w:t>
      </w:r>
      <w:proofErr w:type="spellEnd"/>
      <w:r w:rsidR="00DA5D19">
        <w:t xml:space="preserve"> and 40 </w:t>
      </w:r>
      <w:proofErr w:type="spellStart"/>
      <w:r w:rsidR="00DA5D19">
        <w:t>bcm</w:t>
      </w:r>
      <w:proofErr w:type="spellEnd"/>
      <w:r w:rsidR="00DA5D19">
        <w:t xml:space="preserve"> lower, respectively</w:t>
      </w:r>
      <w:r w:rsidR="00515992">
        <w:t xml:space="preserve">. </w:t>
      </w:r>
      <w:proofErr w:type="gramStart"/>
      <w:r w:rsidR="00DA5D19">
        <w:t>Also</w:t>
      </w:r>
      <w:proofErr w:type="gramEnd"/>
      <w:r w:rsidR="00DA5D19">
        <w:t xml:space="preserve">, in the EU, the production forecast is 25 </w:t>
      </w:r>
      <w:proofErr w:type="spellStart"/>
      <w:r w:rsidR="00DA5D19">
        <w:t>bcm</w:t>
      </w:r>
      <w:proofErr w:type="spellEnd"/>
      <w:r w:rsidR="00DA5D19">
        <w:t xml:space="preserve"> higher in 2025 and </w:t>
      </w:r>
      <w:r w:rsidR="009D525C">
        <w:t xml:space="preserve">20 </w:t>
      </w:r>
      <w:proofErr w:type="spellStart"/>
      <w:r w:rsidR="009D525C">
        <w:t>bcm</w:t>
      </w:r>
      <w:proofErr w:type="spellEnd"/>
      <w:r w:rsidR="009D525C">
        <w:t xml:space="preserve"> higher by 2040 as the demand is higher.</w:t>
      </w:r>
      <w:r w:rsidR="00266815">
        <w:t xml:space="preserve"> European market </w:t>
      </w:r>
      <w:proofErr w:type="spellStart"/>
      <w:r w:rsidR="00266815">
        <w:t>favours</w:t>
      </w:r>
      <w:proofErr w:type="spellEnd"/>
      <w:r w:rsidR="00266815">
        <w:t xml:space="preserve"> supplies over pipeline infrastructure, both in place and planned, thus the tilt to the pipeline as compared to the IEA projection.</w:t>
      </w:r>
    </w:p>
    <w:p w14:paraId="42B5814B" w14:textId="40489EFF" w:rsidR="002B1FCB" w:rsidRPr="00170610" w:rsidRDefault="00A9069A" w:rsidP="002B1FCB">
      <w:pPr>
        <w:jc w:val="lowKashida"/>
      </w:pPr>
      <w:r>
        <w:t>However, given the new business models for LNG facilities prom</w:t>
      </w:r>
      <w:r w:rsidR="00BE7B06">
        <w:t>oted in the North America, the</w:t>
      </w:r>
      <w:r>
        <w:t xml:space="preserve"> risks to “oversupply” the market are mounting.</w:t>
      </w:r>
      <w:r w:rsidR="0087384F">
        <w:t xml:space="preserve"> </w:t>
      </w:r>
      <w:r w:rsidR="00BE7B06">
        <w:t xml:space="preserve">Thus, there is a need to develop the separate scenario that will allow </w:t>
      </w:r>
      <w:proofErr w:type="gramStart"/>
      <w:r w:rsidR="00BE7B06">
        <w:t>to assess</w:t>
      </w:r>
      <w:proofErr w:type="gramEnd"/>
      <w:r w:rsidR="00BE7B06">
        <w:t xml:space="preserve"> the impact of this situation on the market.</w:t>
      </w:r>
    </w:p>
    <w:p w14:paraId="4F65B954" w14:textId="1A87BC72" w:rsidR="00DB3A59" w:rsidRPr="0087384F" w:rsidRDefault="00765F0E" w:rsidP="0087384F">
      <w:pPr>
        <w:pStyle w:val="Heading1"/>
        <w:spacing w:after="240"/>
        <w:jc w:val="lowKashida"/>
        <w:rPr>
          <w:rFonts w:cs="Helvetica"/>
        </w:rPr>
      </w:pPr>
      <w:bookmarkStart w:id="64" w:name="_Toc1561782"/>
      <w:bookmarkStart w:id="65" w:name="_Toc1561837"/>
      <w:bookmarkStart w:id="66" w:name="_Toc1561965"/>
      <w:bookmarkStart w:id="67" w:name="_Toc1661455"/>
      <w:r w:rsidRPr="0087384F">
        <w:rPr>
          <w:rFonts w:cs="Helvetica"/>
        </w:rPr>
        <w:t>Developing t</w:t>
      </w:r>
      <w:r w:rsidR="00DB3A59" w:rsidRPr="0087384F">
        <w:rPr>
          <w:rFonts w:cs="Helvetica"/>
        </w:rPr>
        <w:t>he oversupply scenario</w:t>
      </w:r>
      <w:bookmarkEnd w:id="64"/>
      <w:bookmarkEnd w:id="65"/>
      <w:bookmarkEnd w:id="66"/>
      <w:bookmarkEnd w:id="67"/>
    </w:p>
    <w:p w14:paraId="3CFD7109" w14:textId="4AD19950" w:rsidR="00FD694C" w:rsidRDefault="00D13435" w:rsidP="00FD694C">
      <w:pPr>
        <w:jc w:val="lowKashida"/>
      </w:pPr>
      <w:r>
        <w:t xml:space="preserve">In the LNG market, the concept of “oversupply” itself needs </w:t>
      </w:r>
      <w:proofErr w:type="gramStart"/>
      <w:r>
        <w:t>more accurate definition, as the literal oversupply is possible only in a limited way</w:t>
      </w:r>
      <w:proofErr w:type="gramEnd"/>
      <w:r>
        <w:t xml:space="preserve">. </w:t>
      </w:r>
      <w:r w:rsidR="00FD694C" w:rsidRPr="00FD694C">
        <w:t xml:space="preserve">Natural gas storage worldwide </w:t>
      </w:r>
      <w:r w:rsidR="00FD694C">
        <w:t xml:space="preserve">as of now </w:t>
      </w:r>
      <w:r w:rsidR="00FD694C" w:rsidRPr="00FD694C">
        <w:t>can only hold less than 10% of the gas produced each year</w:t>
      </w:r>
      <w:r w:rsidR="00FD694C">
        <w:t xml:space="preserve">, and this share </w:t>
      </w:r>
      <w:proofErr w:type="gramStart"/>
      <w:r w:rsidR="00FD694C">
        <w:t>is projected</w:t>
      </w:r>
      <w:proofErr w:type="gramEnd"/>
      <w:r w:rsidR="00E81B4F">
        <w:t xml:space="preserve"> to</w:t>
      </w:r>
      <w:r w:rsidR="00FD694C">
        <w:t xml:space="preserve"> reach 10% by 2040</w:t>
      </w:r>
      <w:r w:rsidR="00FD694C" w:rsidRPr="00FD694C">
        <w:t xml:space="preserve">. </w:t>
      </w:r>
      <w:r w:rsidR="00FD694C">
        <w:t xml:space="preserve">This storage </w:t>
      </w:r>
      <w:proofErr w:type="gramStart"/>
      <w:r w:rsidR="00FD694C">
        <w:t>is used</w:t>
      </w:r>
      <w:proofErr w:type="gramEnd"/>
      <w:r w:rsidR="00FD694C">
        <w:t xml:space="preserve"> for offsetting seasonal demand fluctuations, and is not large enough to accommodate excess natural gas in case of oversupply. </w:t>
      </w:r>
    </w:p>
    <w:p w14:paraId="397DFE70" w14:textId="7E106AD1" w:rsidR="00E81B4F" w:rsidRDefault="00BD331D" w:rsidP="000823BE">
      <w:pPr>
        <w:jc w:val="lowKashida"/>
      </w:pPr>
      <w:r>
        <w:t xml:space="preserve">As physical storage is limited, </w:t>
      </w:r>
      <w:r w:rsidR="00022CC6">
        <w:t xml:space="preserve">so is physical oversupply, and </w:t>
      </w:r>
      <w:r w:rsidR="00874FF3">
        <w:t>it is not possible to deliver</w:t>
      </w:r>
      <w:r w:rsidR="00022CC6">
        <w:t xml:space="preserve"> more LNG than </w:t>
      </w:r>
      <w:r w:rsidR="00874FF3">
        <w:t>can be consumed.</w:t>
      </w:r>
      <w:r w:rsidR="00022CC6">
        <w:t xml:space="preserve"> Thus,</w:t>
      </w:r>
      <w:r w:rsidR="000C2173">
        <w:t xml:space="preserve"> for the LNG market </w:t>
      </w:r>
      <w:r w:rsidR="00022CC6">
        <w:t xml:space="preserve">it is </w:t>
      </w:r>
      <w:r>
        <w:t>more pertinent to define the “capacity oversupply”</w:t>
      </w:r>
      <w:r w:rsidR="000C2173">
        <w:t xml:space="preserve"> than physical oversupply, i.e. the situation where capacity growth largely outstrips consumption growth</w:t>
      </w:r>
      <w:r>
        <w:t xml:space="preserve">. In this case, part of </w:t>
      </w:r>
      <w:r w:rsidR="000C2173">
        <w:t xml:space="preserve">the </w:t>
      </w:r>
      <w:r>
        <w:t xml:space="preserve">already </w:t>
      </w:r>
      <w:r w:rsidR="000C2173">
        <w:t xml:space="preserve">capacity is </w:t>
      </w:r>
      <w:proofErr w:type="gramStart"/>
      <w:r w:rsidR="000C2173">
        <w:t xml:space="preserve">not </w:t>
      </w:r>
      <w:r>
        <w:t>.</w:t>
      </w:r>
      <w:proofErr w:type="gramEnd"/>
      <w:r>
        <w:t xml:space="preserve"> </w:t>
      </w:r>
      <w:r w:rsidR="00E81B4F">
        <w:t>As a result,</w:t>
      </w:r>
      <w:r w:rsidR="00DB0C66">
        <w:t xml:space="preserve"> natural gas supply (extraction and processing) facilities </w:t>
      </w:r>
      <w:proofErr w:type="gramStart"/>
      <w:r w:rsidR="00DB0C66">
        <w:t>could be partially reduced</w:t>
      </w:r>
      <w:proofErr w:type="gramEnd"/>
      <w:r w:rsidR="00DB0C66">
        <w:t xml:space="preserve"> or </w:t>
      </w:r>
      <w:r w:rsidR="00C43B4E">
        <w:t>mothballed (</w:t>
      </w:r>
      <w:r w:rsidR="00DB0C66">
        <w:t>put in conservation</w:t>
      </w:r>
      <w:r w:rsidR="00C43B4E">
        <w:t>)</w:t>
      </w:r>
      <w:r w:rsidR="00DB0C66">
        <w:t xml:space="preserve"> in case of insufficient offtake. </w:t>
      </w:r>
    </w:p>
    <w:p w14:paraId="2A6213CD" w14:textId="77777777" w:rsidR="00BB7667" w:rsidRDefault="0094038A" w:rsidP="000823BE">
      <w:pPr>
        <w:jc w:val="lowKashida"/>
      </w:pPr>
      <w:r>
        <w:t>There are t</w:t>
      </w:r>
      <w:r w:rsidR="00DB0C66">
        <w:t xml:space="preserve">echnical limits to partial reduction </w:t>
      </w:r>
      <w:r>
        <w:t xml:space="preserve">of </w:t>
      </w:r>
      <w:proofErr w:type="gramStart"/>
      <w:r>
        <w:t>output, that</w:t>
      </w:r>
      <w:proofErr w:type="gramEnd"/>
      <w:r>
        <w:t xml:space="preserve"> </w:t>
      </w:r>
      <w:r w:rsidR="00DB0C66">
        <w:t xml:space="preserve">differ from plant to plant and could be as flexible as 0 to 100% of supply or only 10% of supply. </w:t>
      </w:r>
      <w:r w:rsidR="00A67711">
        <w:t xml:space="preserve">Most LNG facilities could operate at more than two thirds of capacity due to technical reasons. If offtake is not sufficient for this capacity, </w:t>
      </w:r>
      <w:r w:rsidR="00C43B4E">
        <w:t xml:space="preserve">mothballing of LNG facility </w:t>
      </w:r>
      <w:r w:rsidR="00A67711">
        <w:t xml:space="preserve">becomes </w:t>
      </w:r>
      <w:r w:rsidR="00C43B4E">
        <w:t xml:space="preserve">the </w:t>
      </w:r>
      <w:r w:rsidR="00A272EF">
        <w:t xml:space="preserve">only </w:t>
      </w:r>
      <w:r w:rsidR="00C43B4E">
        <w:t>economical option</w:t>
      </w:r>
      <w:r w:rsidR="00A67711">
        <w:t>.</w:t>
      </w:r>
      <w:r w:rsidR="000823BE" w:rsidRPr="000823BE">
        <w:t xml:space="preserve"> </w:t>
      </w:r>
    </w:p>
    <w:p w14:paraId="70304C80" w14:textId="167149EB" w:rsidR="00BB7667" w:rsidRDefault="004E2F2E" w:rsidP="000823BE">
      <w:pPr>
        <w:jc w:val="lowKashida"/>
      </w:pPr>
      <w:r>
        <w:t>For the natural gas market, this “capacity oversupply” will compress liquefaction fee (which currently is estimated at $3/</w:t>
      </w:r>
      <w:proofErr w:type="spellStart"/>
      <w:r>
        <w:t>mmbtu</w:t>
      </w:r>
      <w:proofErr w:type="spellEnd"/>
      <w:r>
        <w:t xml:space="preserve">), making the natural gas more affordable. Along with the policy efforts to promote natural gas, </w:t>
      </w:r>
      <w:r w:rsidR="00FE38B0">
        <w:t xml:space="preserve">the affordability is the major driver for coal-to-gas switching, </w:t>
      </w:r>
      <w:r w:rsidR="00306F6F">
        <w:t xml:space="preserve">which </w:t>
      </w:r>
      <w:proofErr w:type="gramStart"/>
      <w:r w:rsidR="00306F6F">
        <w:t>is estimated</w:t>
      </w:r>
      <w:proofErr w:type="gramEnd"/>
      <w:r w:rsidR="00306F6F">
        <w:t xml:space="preserve"> to happen at </w:t>
      </w:r>
      <w:r w:rsidR="00F835A3">
        <w:t>a price band of $3-6/</w:t>
      </w:r>
      <w:proofErr w:type="spellStart"/>
      <w:r w:rsidR="00F835A3">
        <w:t>mmbtu</w:t>
      </w:r>
      <w:proofErr w:type="spellEnd"/>
      <w:r w:rsidR="00F835A3">
        <w:t xml:space="preserve">. </w:t>
      </w:r>
      <w:r w:rsidR="009709C5">
        <w:t>This can create ad</w:t>
      </w:r>
      <w:r w:rsidR="000E40F5">
        <w:t xml:space="preserve">ditional demand for natural gas where coal generation </w:t>
      </w:r>
      <w:proofErr w:type="gramStart"/>
      <w:r w:rsidR="000E40F5">
        <w:t>can be substituted</w:t>
      </w:r>
      <w:proofErr w:type="gramEnd"/>
      <w:r w:rsidR="000E40F5">
        <w:t xml:space="preserve">, which might total up to </w:t>
      </w:r>
      <w:proofErr w:type="spellStart"/>
      <w:r w:rsidR="000E40F5">
        <w:t>mtpa</w:t>
      </w:r>
      <w:proofErr w:type="spellEnd"/>
      <w:r w:rsidR="000E40F5">
        <w:t xml:space="preserve"> by 2025 and </w:t>
      </w:r>
      <w:proofErr w:type="spellStart"/>
      <w:r w:rsidR="000E40F5">
        <w:t>mtpa</w:t>
      </w:r>
      <w:proofErr w:type="spellEnd"/>
      <w:r w:rsidR="000E40F5">
        <w:t xml:space="preserve"> in 2040. </w:t>
      </w:r>
    </w:p>
    <w:p w14:paraId="631198EF" w14:textId="3CC8AF1D" w:rsidR="000823BE" w:rsidRDefault="000823BE" w:rsidP="000823BE">
      <w:pPr>
        <w:jc w:val="lowKashida"/>
      </w:pPr>
      <w:r w:rsidRPr="008369E2">
        <w:t>The nameplate capacity of US</w:t>
      </w:r>
      <w:r w:rsidR="000C2173">
        <w:t xml:space="preserve"> and Canada</w:t>
      </w:r>
      <w:r w:rsidRPr="008369E2">
        <w:t xml:space="preserve"> LNG facilities </w:t>
      </w:r>
      <w:proofErr w:type="gramStart"/>
      <w:r w:rsidRPr="008369E2">
        <w:t xml:space="preserve">is </w:t>
      </w:r>
      <w:r>
        <w:t>projected</w:t>
      </w:r>
      <w:proofErr w:type="gramEnd"/>
      <w:r>
        <w:t xml:space="preserve"> to reach 127.7 </w:t>
      </w:r>
      <w:proofErr w:type="spellStart"/>
      <w:r>
        <w:t>mtpa</w:t>
      </w:r>
      <w:proofErr w:type="spellEnd"/>
      <w:r>
        <w:t xml:space="preserve"> by 2022, compared to 38 </w:t>
      </w:r>
      <w:proofErr w:type="spellStart"/>
      <w:r>
        <w:t>mtpa</w:t>
      </w:r>
      <w:proofErr w:type="spellEnd"/>
      <w:r>
        <w:t xml:space="preserve"> in 2018, and most of those are not on the marginal cost curve</w:t>
      </w:r>
      <w:r w:rsidR="00E81B4F">
        <w:t xml:space="preserve"> at the market prices</w:t>
      </w:r>
      <w:r w:rsidR="000C2173">
        <w:t xml:space="preserve"> both for Asian and European market. However, due to an alternative business models used by some of those projects, there is a perspective that the supply will not be idled</w:t>
      </w:r>
      <w:r w:rsidR="00E81B4F">
        <w:t>.</w:t>
      </w:r>
      <w:r w:rsidR="000C2173">
        <w:t xml:space="preserve"> </w:t>
      </w:r>
      <w:r w:rsidR="00E6237A">
        <w:t xml:space="preserve">This means the LNG supply from those plants </w:t>
      </w:r>
      <w:proofErr w:type="gramStart"/>
      <w:r w:rsidR="00E6237A">
        <w:t>could be offered</w:t>
      </w:r>
      <w:proofErr w:type="gramEnd"/>
      <w:r w:rsidR="00E6237A">
        <w:t xml:space="preserve"> at a lower marginal cost. </w:t>
      </w:r>
      <w:r w:rsidR="00551C8D">
        <w:t>As per the c</w:t>
      </w:r>
      <w:r w:rsidR="00E6237A">
        <w:t>oncept of “supply overcapacity”, this means supply from the other facilities globally is at risk. We can outline the cost curve for European</w:t>
      </w:r>
      <w:r w:rsidR="00B77F6C">
        <w:t xml:space="preserve"> (based </w:t>
      </w:r>
      <w:r w:rsidR="00B77F6C">
        <w:lastRenderedPageBreak/>
        <w:t>on Germany)</w:t>
      </w:r>
      <w:r w:rsidR="00E6237A">
        <w:t>, Latin American</w:t>
      </w:r>
      <w:r w:rsidR="00B77F6C">
        <w:t xml:space="preserve"> (based on Brazil)</w:t>
      </w:r>
      <w:r w:rsidR="00E6237A">
        <w:t xml:space="preserve"> and Asian</w:t>
      </w:r>
      <w:r w:rsidR="00B77F6C">
        <w:t xml:space="preserve"> (based on Japan)</w:t>
      </w:r>
      <w:r w:rsidR="00E6237A">
        <w:t xml:space="preserve"> markets to identify the LNG volumes at risk.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242E87" w14:paraId="596FD184" w14:textId="77777777" w:rsidTr="00B77F6C">
        <w:tc>
          <w:tcPr>
            <w:tcW w:w="4680" w:type="dxa"/>
          </w:tcPr>
          <w:p w14:paraId="78551EF6" w14:textId="77777777" w:rsidR="00242E87" w:rsidRPr="00242E87" w:rsidRDefault="00242E87" w:rsidP="00242E87">
            <w:pPr>
              <w:pStyle w:val="Heading4"/>
              <w:jc w:val="center"/>
              <w:outlineLvl w:val="3"/>
              <w:rPr>
                <w:sz w:val="22"/>
              </w:rPr>
            </w:pPr>
            <w:r w:rsidRPr="00242E87">
              <w:rPr>
                <w:sz w:val="22"/>
              </w:rPr>
              <w:t>Figure 2. Demand and cost curves for Japan in 2018, 2025 and 2040</w:t>
            </w:r>
          </w:p>
          <w:p w14:paraId="47196A52" w14:textId="484A09C4" w:rsidR="00242E87" w:rsidRDefault="00242E87" w:rsidP="000823BE">
            <w:pPr>
              <w:jc w:val="lowKashida"/>
              <w:rPr>
                <w:lang w:val="en-AU"/>
              </w:rPr>
            </w:pPr>
            <w:r>
              <w:rPr>
                <w:noProof/>
              </w:rPr>
              <w:drawing>
                <wp:inline distT="0" distB="0" distL="0" distR="0" wp14:anchorId="5B6589CE" wp14:editId="41F57785">
                  <wp:extent cx="2855843" cy="1858424"/>
                  <wp:effectExtent l="0" t="0" r="1905" b="889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680" w:type="dxa"/>
          </w:tcPr>
          <w:p w14:paraId="3F485C6C" w14:textId="77777777" w:rsidR="00242E87" w:rsidRPr="00242E87" w:rsidRDefault="00242E87" w:rsidP="00242E87">
            <w:pPr>
              <w:pStyle w:val="Heading4"/>
              <w:jc w:val="center"/>
              <w:outlineLvl w:val="3"/>
              <w:rPr>
                <w:sz w:val="22"/>
              </w:rPr>
            </w:pPr>
            <w:r w:rsidRPr="00242E87">
              <w:rPr>
                <w:sz w:val="22"/>
              </w:rPr>
              <w:t>Figure 3. Demand and cost curves for Germany in 2018, 2025 and 2040</w:t>
            </w:r>
          </w:p>
          <w:p w14:paraId="35109D50" w14:textId="309684D1" w:rsidR="00242E87" w:rsidRDefault="00242E87" w:rsidP="000823BE">
            <w:pPr>
              <w:jc w:val="lowKashida"/>
              <w:rPr>
                <w:lang w:val="en-AU"/>
              </w:rPr>
            </w:pPr>
            <w:r>
              <w:rPr>
                <w:noProof/>
              </w:rPr>
              <w:drawing>
                <wp:inline distT="0" distB="0" distL="0" distR="0" wp14:anchorId="1972041E" wp14:editId="3AB24979">
                  <wp:extent cx="2855595" cy="1881284"/>
                  <wp:effectExtent l="0" t="0" r="1905" b="508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242E87" w14:paraId="6271EC2E" w14:textId="77777777" w:rsidTr="00B77F6C">
        <w:tc>
          <w:tcPr>
            <w:tcW w:w="9360" w:type="dxa"/>
            <w:gridSpan w:val="2"/>
          </w:tcPr>
          <w:p w14:paraId="13F3955D" w14:textId="77777777" w:rsidR="00242E87" w:rsidRPr="00242E87" w:rsidRDefault="00242E87" w:rsidP="00242E87">
            <w:pPr>
              <w:pStyle w:val="Heading4"/>
              <w:jc w:val="center"/>
              <w:outlineLvl w:val="3"/>
              <w:rPr>
                <w:sz w:val="22"/>
              </w:rPr>
            </w:pPr>
            <w:r w:rsidRPr="00242E87">
              <w:rPr>
                <w:sz w:val="22"/>
              </w:rPr>
              <w:t>Figure 4. Demand and cost curves for Brazil in 2018, 2025 and 2040</w:t>
            </w:r>
          </w:p>
          <w:p w14:paraId="0282793E" w14:textId="3B2F776A" w:rsidR="00242E87" w:rsidRDefault="00242E87" w:rsidP="00242E87">
            <w:pPr>
              <w:jc w:val="center"/>
              <w:rPr>
                <w:lang w:val="en-AU"/>
              </w:rPr>
            </w:pPr>
            <w:r>
              <w:rPr>
                <w:noProof/>
              </w:rPr>
              <w:drawing>
                <wp:inline distT="0" distB="0" distL="0" distR="0" wp14:anchorId="2704F926" wp14:editId="099B3E38">
                  <wp:extent cx="2895600" cy="2086610"/>
                  <wp:effectExtent l="0" t="0" r="0" b="889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4A6C39D2" w14:textId="77777777" w:rsidR="006C5FBC" w:rsidRPr="00B64B0A" w:rsidRDefault="006C5FBC" w:rsidP="006C5FBC">
      <w:pPr>
        <w:pStyle w:val="Caption"/>
        <w:spacing w:after="160"/>
        <w:contextualSpacing/>
        <w:rPr>
          <w:rFonts w:ascii="Calibri Light" w:eastAsia="Calibri" w:hAnsi="Calibri Light" w:cs="Arial"/>
          <w:b/>
          <w:bCs/>
          <w:i w:val="0"/>
          <w:iCs w:val="0"/>
          <w:sz w:val="16"/>
          <w:szCs w:val="16"/>
          <w:lang w:val="en-AU" w:eastAsia="ja-JP"/>
        </w:rPr>
      </w:pPr>
      <w:r w:rsidRPr="005D128B">
        <w:rPr>
          <w:rFonts w:ascii="Calibri Light" w:eastAsia="Calibri" w:hAnsi="Calibri Light" w:cs="Arial"/>
          <w:sz w:val="16"/>
          <w:szCs w:val="16"/>
          <w:lang w:val="en-AU" w:eastAsia="ja-JP"/>
        </w:rPr>
        <w:t>Source: GECF Secretar</w:t>
      </w:r>
      <w:r>
        <w:rPr>
          <w:rFonts w:ascii="Calibri Light" w:eastAsia="Calibri" w:hAnsi="Calibri Light" w:cs="Arial"/>
          <w:sz w:val="16"/>
          <w:szCs w:val="16"/>
          <w:lang w:val="en-AU" w:eastAsia="ja-JP"/>
        </w:rPr>
        <w:t>iat based on data from GECF GGM</w:t>
      </w:r>
    </w:p>
    <w:p w14:paraId="0C3C0905" w14:textId="52B25D16" w:rsidR="0081099D" w:rsidRPr="008369E2" w:rsidRDefault="006C5FBC" w:rsidP="000823BE">
      <w:pPr>
        <w:jc w:val="lowKashida"/>
      </w:pPr>
      <w:proofErr w:type="gramStart"/>
      <w:r>
        <w:t>Basically, these</w:t>
      </w:r>
      <w:proofErr w:type="gramEnd"/>
      <w:r>
        <w:t xml:space="preserve"> curves </w:t>
      </w:r>
      <w:r w:rsidR="001D0A81">
        <w:t xml:space="preserve">outline the </w:t>
      </w:r>
      <w:r w:rsidR="00B77F6C">
        <w:t>cost</w:t>
      </w:r>
      <w:r w:rsidR="001D0A81">
        <w:t xml:space="preserve"> range for the “contestable market”</w:t>
      </w:r>
      <w:r w:rsidR="00636385">
        <w:t xml:space="preserve"> (in other words, price-elastic segment of the curve)</w:t>
      </w:r>
      <w:r w:rsidR="001D0A81">
        <w:t xml:space="preserve"> at </w:t>
      </w:r>
      <w:r w:rsidR="00B77F6C">
        <w:t>3-7 $/</w:t>
      </w:r>
      <w:proofErr w:type="spellStart"/>
      <w:r w:rsidR="00B77F6C">
        <w:t>mbtu</w:t>
      </w:r>
      <w:proofErr w:type="spellEnd"/>
      <w:r w:rsidR="00B77F6C">
        <w:t xml:space="preserve"> band for Japan in 2025, while being inelastic in Germany (because of Russian piped gas supply being available) and Brazil</w:t>
      </w:r>
      <w:r w:rsidR="00E917DE">
        <w:t xml:space="preserve"> around 3.5 and 2.5 $/</w:t>
      </w:r>
      <w:proofErr w:type="spellStart"/>
      <w:r w:rsidR="00E917DE">
        <w:t>mbtu</w:t>
      </w:r>
      <w:proofErr w:type="spellEnd"/>
      <w:r w:rsidR="00E917DE">
        <w:t>, respectively</w:t>
      </w:r>
      <w:r w:rsidR="00B77F6C">
        <w:t>.</w:t>
      </w:r>
      <w:r w:rsidR="00C16622">
        <w:t xml:space="preserve"> This means there is a potential for balancing demand from Latin American market almost at Henry Hub price levels ($2.5-3/</w:t>
      </w:r>
      <w:proofErr w:type="spellStart"/>
      <w:r w:rsidR="00C16622">
        <w:t>mbtu</w:t>
      </w:r>
      <w:proofErr w:type="spellEnd"/>
      <w:r w:rsidR="00C16622">
        <w:t>), and balancing European market at well below $5/</w:t>
      </w:r>
      <w:proofErr w:type="spellStart"/>
      <w:r w:rsidR="00C16622">
        <w:t>mbtu</w:t>
      </w:r>
      <w:proofErr w:type="spellEnd"/>
      <w:r w:rsidR="00C16622">
        <w:t xml:space="preserve">. However, these are the minimum price levels </w:t>
      </w:r>
      <w:r w:rsidR="00916D2F">
        <w:t xml:space="preserve">for those </w:t>
      </w:r>
      <w:proofErr w:type="gramStart"/>
      <w:r w:rsidR="00916D2F">
        <w:t xml:space="preserve">markets </w:t>
      </w:r>
      <w:r w:rsidR="00C16622">
        <w:t>which</w:t>
      </w:r>
      <w:proofErr w:type="gramEnd"/>
      <w:r w:rsidR="00C16622">
        <w:t xml:space="preserve"> entail the risk of significant reorientation of supply and</w:t>
      </w:r>
      <w:r w:rsidR="005C2B0C">
        <w:t>/or</w:t>
      </w:r>
      <w:r w:rsidR="00C16622">
        <w:t xml:space="preserve"> </w:t>
      </w:r>
      <w:r w:rsidR="00314F27">
        <w:t xml:space="preserve">will cause </w:t>
      </w:r>
      <w:r w:rsidR="005C2B0C">
        <w:t xml:space="preserve">total </w:t>
      </w:r>
      <w:r w:rsidR="00314F27">
        <w:t>supply reduction in the longer term.</w:t>
      </w:r>
      <w:r w:rsidR="00636385">
        <w:t xml:space="preserve"> It is still unclear how large is the market space for price-inelastic supplies</w:t>
      </w:r>
      <w:r w:rsidR="00F27F0B">
        <w:t xml:space="preserve"> of LNG, though typically it is the whole volume of demand that </w:t>
      </w:r>
      <w:proofErr w:type="gramStart"/>
      <w:r w:rsidR="00F27F0B">
        <w:t>is not covered</w:t>
      </w:r>
      <w:proofErr w:type="gramEnd"/>
      <w:r w:rsidR="00F27F0B">
        <w:t xml:space="preserve"> by either domestic supply of cheap pipeline gas</w:t>
      </w:r>
      <w:r w:rsidR="00636385">
        <w:t>.</w:t>
      </w:r>
    </w:p>
    <w:p w14:paraId="68404F74" w14:textId="04419E10" w:rsidR="0084789D" w:rsidRPr="00A272EF" w:rsidRDefault="0084789D" w:rsidP="00A272EF">
      <w:pPr>
        <w:pStyle w:val="Heading1"/>
        <w:spacing w:after="240"/>
        <w:jc w:val="lowKashida"/>
        <w:rPr>
          <w:rFonts w:cs="Helvetica"/>
        </w:rPr>
      </w:pPr>
      <w:bookmarkStart w:id="68" w:name="_Toc1561783"/>
      <w:bookmarkStart w:id="69" w:name="_Toc1561838"/>
      <w:bookmarkStart w:id="70" w:name="_Toc1561966"/>
      <w:bookmarkStart w:id="71" w:name="_Toc1661456"/>
      <w:r w:rsidRPr="00A272EF">
        <w:rPr>
          <w:rFonts w:cs="Helvetica"/>
        </w:rPr>
        <w:t>Modelling oversupply with GGM</w:t>
      </w:r>
      <w:bookmarkEnd w:id="68"/>
      <w:bookmarkEnd w:id="69"/>
      <w:bookmarkEnd w:id="70"/>
      <w:bookmarkEnd w:id="71"/>
    </w:p>
    <w:p w14:paraId="03F1D05C" w14:textId="02C46E28" w:rsidR="001915CE" w:rsidRPr="00CF7E9B" w:rsidRDefault="001915CE" w:rsidP="001915CE">
      <w:pPr>
        <w:jc w:val="lowKashida"/>
      </w:pPr>
      <w:r w:rsidRPr="00CF7E9B">
        <w:t xml:space="preserve">The </w:t>
      </w:r>
      <w:r>
        <w:t>LNG oversupply</w:t>
      </w:r>
      <w:r w:rsidRPr="00CF7E9B">
        <w:t xml:space="preserve"> scenario is quantified through the use of the GECF </w:t>
      </w:r>
      <w:r w:rsidR="0045107A">
        <w:t>Global Gas Model (GGM)</w:t>
      </w:r>
      <w:r w:rsidRPr="00CF7E9B">
        <w:t xml:space="preserve">, which is a unique energy model developed in-house at the GECF Secretariat, and which includes different sub-models with each one focused on one segment of the gas value chain (production, pipelines, LNG, shipping, regasification, contracts and demand). </w:t>
      </w:r>
    </w:p>
    <w:p w14:paraId="6695433C" w14:textId="1A2E80A4" w:rsidR="0045107A" w:rsidRPr="0045107A" w:rsidRDefault="0045107A" w:rsidP="0045107A">
      <w:pPr>
        <w:jc w:val="lowKashida"/>
        <w:rPr>
          <w:rFonts w:cstheme="minorHAnsi"/>
        </w:rPr>
      </w:pPr>
      <w:r>
        <w:lastRenderedPageBreak/>
        <w:t>The GGM</w:t>
      </w:r>
      <w:r w:rsidR="001D6CE2">
        <w:t xml:space="preserve"> is a unique long-term </w:t>
      </w:r>
      <w:proofErr w:type="gramStart"/>
      <w:r w:rsidR="001D6CE2">
        <w:t>energy forecasting</w:t>
      </w:r>
      <w:proofErr w:type="gramEnd"/>
      <w:r w:rsidR="001D6CE2">
        <w:t xml:space="preserve"> model developed in-house at the GECF Secretariat. GGM has the most comprehensive and granular view on the natural gas market while producing forecasts of the whole range of national and regional energy balances. </w:t>
      </w:r>
      <w:r w:rsidR="00A93CC8">
        <w:rPr>
          <w:rFonts w:cstheme="minorHAnsi"/>
        </w:rPr>
        <w:t>The GGM</w:t>
      </w:r>
      <w:r w:rsidRPr="0045107A">
        <w:rPr>
          <w:rFonts w:cstheme="minorHAnsi"/>
        </w:rPr>
        <w:t xml:space="preserve"> </w:t>
      </w:r>
      <w:proofErr w:type="gramStart"/>
      <w:r w:rsidRPr="0045107A">
        <w:rPr>
          <w:rFonts w:cstheme="minorHAnsi"/>
        </w:rPr>
        <w:t>is characterized</w:t>
      </w:r>
      <w:proofErr w:type="gramEnd"/>
      <w:r w:rsidRPr="0045107A">
        <w:rPr>
          <w:rFonts w:cstheme="minorHAnsi"/>
        </w:rPr>
        <w:t xml:space="preserve"> by its uniquely high granularity</w:t>
      </w:r>
      <w:r w:rsidR="00A93CC8">
        <w:rPr>
          <w:rFonts w:cstheme="minorHAnsi"/>
        </w:rPr>
        <w:t xml:space="preserve"> for natural gas market</w:t>
      </w:r>
      <w:r w:rsidRPr="0045107A">
        <w:rPr>
          <w:rFonts w:cstheme="minorHAnsi"/>
        </w:rPr>
        <w:t xml:space="preserve">, encompassing: </w:t>
      </w:r>
    </w:p>
    <w:p w14:paraId="0741542E" w14:textId="77777777" w:rsidR="0045107A" w:rsidRPr="0045107A" w:rsidRDefault="0045107A" w:rsidP="0045107A">
      <w:pPr>
        <w:pStyle w:val="Default"/>
        <w:numPr>
          <w:ilvl w:val="0"/>
          <w:numId w:val="11"/>
        </w:numPr>
        <w:rPr>
          <w:rFonts w:asciiTheme="minorHAnsi" w:eastAsiaTheme="minorHAnsi" w:hAnsiTheme="minorHAnsi" w:cstheme="minorHAnsi"/>
          <w:color w:val="auto"/>
          <w:sz w:val="22"/>
          <w:szCs w:val="22"/>
          <w:lang w:val="en-GB"/>
        </w:rPr>
      </w:pPr>
      <w:r w:rsidRPr="0045107A">
        <w:rPr>
          <w:rFonts w:asciiTheme="minorHAnsi" w:eastAsiaTheme="minorHAnsi" w:hAnsiTheme="minorHAnsi" w:cstheme="minorHAnsi"/>
          <w:color w:val="auto"/>
          <w:sz w:val="22"/>
          <w:szCs w:val="22"/>
          <w:lang w:val="en-GB"/>
        </w:rPr>
        <w:t>113 country-level forecasts, with 60 regional aggregates and a global projection</w:t>
      </w:r>
    </w:p>
    <w:p w14:paraId="70471418" w14:textId="77777777" w:rsidR="0045107A" w:rsidRPr="0045107A" w:rsidRDefault="0045107A" w:rsidP="0045107A">
      <w:pPr>
        <w:pStyle w:val="Default"/>
        <w:numPr>
          <w:ilvl w:val="0"/>
          <w:numId w:val="11"/>
        </w:numPr>
        <w:rPr>
          <w:rFonts w:asciiTheme="minorHAnsi" w:eastAsiaTheme="minorHAnsi" w:hAnsiTheme="minorHAnsi" w:cstheme="minorHAnsi"/>
          <w:color w:val="auto"/>
          <w:sz w:val="22"/>
          <w:szCs w:val="22"/>
          <w:lang w:val="en-GB"/>
        </w:rPr>
      </w:pPr>
      <w:r w:rsidRPr="0045107A">
        <w:rPr>
          <w:rFonts w:asciiTheme="minorHAnsi" w:eastAsiaTheme="minorHAnsi" w:hAnsiTheme="minorHAnsi" w:cstheme="minorHAnsi"/>
          <w:color w:val="auto"/>
          <w:sz w:val="22"/>
          <w:szCs w:val="22"/>
          <w:lang w:val="en-GB"/>
        </w:rPr>
        <w:t xml:space="preserve">Complete energy balance estimates, covering 29 sectors and 34 fuels annually, from 1990 to 2040 </w:t>
      </w:r>
    </w:p>
    <w:p w14:paraId="71DABD13" w14:textId="77777777" w:rsidR="0045107A" w:rsidRPr="0045107A" w:rsidRDefault="0045107A" w:rsidP="0045107A">
      <w:pPr>
        <w:pStyle w:val="Default"/>
        <w:numPr>
          <w:ilvl w:val="0"/>
          <w:numId w:val="11"/>
        </w:numPr>
        <w:rPr>
          <w:rFonts w:asciiTheme="minorHAnsi" w:eastAsiaTheme="minorHAnsi" w:hAnsiTheme="minorHAnsi" w:cstheme="minorHAnsi"/>
          <w:color w:val="auto"/>
          <w:sz w:val="22"/>
          <w:szCs w:val="22"/>
          <w:lang w:val="en-GB"/>
        </w:rPr>
      </w:pPr>
      <w:r w:rsidRPr="0045107A">
        <w:rPr>
          <w:rFonts w:asciiTheme="minorHAnsi" w:eastAsiaTheme="minorHAnsi" w:hAnsiTheme="minorHAnsi" w:cstheme="minorHAnsi"/>
          <w:color w:val="auto"/>
          <w:sz w:val="22"/>
          <w:szCs w:val="22"/>
          <w:lang w:val="en-GB"/>
        </w:rPr>
        <w:t xml:space="preserve">4300 gas supply entities representing gas supply potential at the global scale, divided into: </w:t>
      </w:r>
    </w:p>
    <w:p w14:paraId="6F947284" w14:textId="77777777" w:rsidR="0045107A" w:rsidRPr="0045107A" w:rsidRDefault="0045107A" w:rsidP="0045107A">
      <w:pPr>
        <w:pStyle w:val="Default"/>
        <w:numPr>
          <w:ilvl w:val="0"/>
          <w:numId w:val="12"/>
        </w:numPr>
        <w:jc w:val="both"/>
        <w:rPr>
          <w:rFonts w:asciiTheme="minorHAnsi" w:eastAsiaTheme="minorHAnsi" w:hAnsiTheme="minorHAnsi" w:cstheme="minorHAnsi"/>
          <w:color w:val="auto"/>
          <w:sz w:val="22"/>
          <w:szCs w:val="22"/>
          <w:lang w:val="en-GB"/>
        </w:rPr>
      </w:pPr>
      <w:r w:rsidRPr="0045107A">
        <w:rPr>
          <w:rFonts w:asciiTheme="minorHAnsi" w:eastAsiaTheme="minorHAnsi" w:hAnsiTheme="minorHAnsi" w:cstheme="minorHAnsi"/>
          <w:color w:val="auto"/>
          <w:sz w:val="22"/>
          <w:szCs w:val="22"/>
          <w:lang w:val="en-GB"/>
        </w:rPr>
        <w:t xml:space="preserve">740 existing and operational production facilities (including aggregates) </w:t>
      </w:r>
    </w:p>
    <w:p w14:paraId="2CFA3275" w14:textId="77777777" w:rsidR="0045107A" w:rsidRPr="0045107A" w:rsidRDefault="0045107A" w:rsidP="0045107A">
      <w:pPr>
        <w:pStyle w:val="Default"/>
        <w:numPr>
          <w:ilvl w:val="0"/>
          <w:numId w:val="12"/>
        </w:numPr>
        <w:jc w:val="both"/>
        <w:rPr>
          <w:rFonts w:asciiTheme="minorHAnsi" w:eastAsiaTheme="minorHAnsi" w:hAnsiTheme="minorHAnsi" w:cstheme="minorHAnsi"/>
          <w:color w:val="auto"/>
          <w:sz w:val="22"/>
          <w:szCs w:val="22"/>
          <w:lang w:val="en-GB"/>
        </w:rPr>
      </w:pPr>
      <w:r w:rsidRPr="0045107A">
        <w:rPr>
          <w:rFonts w:asciiTheme="minorHAnsi" w:eastAsiaTheme="minorHAnsi" w:hAnsiTheme="minorHAnsi" w:cstheme="minorHAnsi"/>
          <w:color w:val="auto"/>
          <w:sz w:val="22"/>
          <w:szCs w:val="22"/>
          <w:lang w:val="en-GB"/>
        </w:rPr>
        <w:t xml:space="preserve">2120 new projects based on existing reserves </w:t>
      </w:r>
    </w:p>
    <w:p w14:paraId="156E79C3" w14:textId="77777777" w:rsidR="0045107A" w:rsidRPr="0045107A" w:rsidRDefault="0045107A" w:rsidP="0045107A">
      <w:pPr>
        <w:pStyle w:val="Default"/>
        <w:numPr>
          <w:ilvl w:val="0"/>
          <w:numId w:val="12"/>
        </w:numPr>
        <w:jc w:val="both"/>
        <w:rPr>
          <w:rFonts w:asciiTheme="minorHAnsi" w:eastAsiaTheme="minorHAnsi" w:hAnsiTheme="minorHAnsi" w:cstheme="minorHAnsi"/>
          <w:color w:val="auto"/>
          <w:sz w:val="22"/>
          <w:szCs w:val="22"/>
          <w:lang w:val="en-GB"/>
        </w:rPr>
      </w:pPr>
      <w:r w:rsidRPr="0045107A">
        <w:rPr>
          <w:rFonts w:asciiTheme="minorHAnsi" w:eastAsiaTheme="minorHAnsi" w:hAnsiTheme="minorHAnsi" w:cstheme="minorHAnsi"/>
          <w:color w:val="auto"/>
          <w:sz w:val="22"/>
          <w:szCs w:val="22"/>
          <w:lang w:val="en-GB"/>
        </w:rPr>
        <w:t xml:space="preserve">1300 yet-to-find (YTF) entities </w:t>
      </w:r>
    </w:p>
    <w:p w14:paraId="4A41FDB7" w14:textId="77777777" w:rsidR="0045107A" w:rsidRPr="0045107A" w:rsidRDefault="0045107A" w:rsidP="0045107A">
      <w:pPr>
        <w:pStyle w:val="Default"/>
        <w:numPr>
          <w:ilvl w:val="0"/>
          <w:numId w:val="12"/>
        </w:numPr>
        <w:jc w:val="both"/>
        <w:rPr>
          <w:rFonts w:asciiTheme="minorHAnsi" w:eastAsiaTheme="minorHAnsi" w:hAnsiTheme="minorHAnsi" w:cstheme="minorHAnsi"/>
          <w:color w:val="auto"/>
          <w:sz w:val="22"/>
          <w:szCs w:val="22"/>
          <w:lang w:val="en-GB"/>
        </w:rPr>
      </w:pPr>
      <w:proofErr w:type="gramStart"/>
      <w:r w:rsidRPr="0045107A">
        <w:rPr>
          <w:rFonts w:asciiTheme="minorHAnsi" w:eastAsiaTheme="minorHAnsi" w:hAnsiTheme="minorHAnsi" w:cstheme="minorHAnsi"/>
          <w:color w:val="auto"/>
          <w:sz w:val="22"/>
          <w:szCs w:val="22"/>
          <w:lang w:val="en-GB"/>
        </w:rPr>
        <w:t>160</w:t>
      </w:r>
      <w:proofErr w:type="gramEnd"/>
      <w:r w:rsidRPr="0045107A">
        <w:rPr>
          <w:rFonts w:asciiTheme="minorHAnsi" w:eastAsiaTheme="minorHAnsi" w:hAnsiTheme="minorHAnsi" w:cstheme="minorHAnsi"/>
          <w:color w:val="auto"/>
          <w:sz w:val="22"/>
          <w:szCs w:val="22"/>
          <w:lang w:val="en-GB"/>
        </w:rPr>
        <w:t xml:space="preserve"> unconventional resources (existing and YTF), generating the most comprehensive database available of global shale and tight gas, coalbed methane (CBM) and methane hydrates.</w:t>
      </w:r>
    </w:p>
    <w:p w14:paraId="39950709" w14:textId="77777777" w:rsidR="0045107A" w:rsidRPr="0045107A" w:rsidRDefault="0045107A" w:rsidP="0045107A">
      <w:pPr>
        <w:pStyle w:val="Default"/>
        <w:rPr>
          <w:rFonts w:asciiTheme="minorHAnsi" w:eastAsiaTheme="minorHAnsi" w:hAnsiTheme="minorHAnsi" w:cstheme="minorHAnsi"/>
          <w:color w:val="auto"/>
          <w:sz w:val="22"/>
          <w:szCs w:val="22"/>
          <w:lang w:val="en-GB"/>
        </w:rPr>
      </w:pPr>
      <w:r w:rsidRPr="0045107A">
        <w:rPr>
          <w:rFonts w:asciiTheme="minorHAnsi" w:eastAsiaTheme="minorHAnsi" w:hAnsiTheme="minorHAnsi" w:cstheme="minorHAnsi"/>
          <w:color w:val="auto"/>
          <w:sz w:val="22"/>
          <w:szCs w:val="22"/>
          <w:lang w:val="en-GB"/>
        </w:rPr>
        <w:t xml:space="preserve">The infrastructure database contains: </w:t>
      </w:r>
    </w:p>
    <w:p w14:paraId="253BA708" w14:textId="77777777" w:rsidR="0045107A" w:rsidRPr="0045107A" w:rsidRDefault="0045107A" w:rsidP="0045107A">
      <w:pPr>
        <w:pStyle w:val="Default"/>
        <w:numPr>
          <w:ilvl w:val="0"/>
          <w:numId w:val="12"/>
        </w:numPr>
        <w:jc w:val="both"/>
        <w:rPr>
          <w:rFonts w:asciiTheme="minorHAnsi" w:eastAsiaTheme="minorHAnsi" w:hAnsiTheme="minorHAnsi" w:cstheme="minorHAnsi"/>
          <w:color w:val="auto"/>
          <w:sz w:val="22"/>
          <w:szCs w:val="22"/>
          <w:lang w:val="en-GB"/>
        </w:rPr>
      </w:pPr>
      <w:r w:rsidRPr="0045107A">
        <w:rPr>
          <w:rFonts w:asciiTheme="minorHAnsi" w:eastAsiaTheme="minorHAnsi" w:hAnsiTheme="minorHAnsi" w:cstheme="minorHAnsi"/>
          <w:color w:val="auto"/>
          <w:sz w:val="22"/>
          <w:szCs w:val="22"/>
          <w:lang w:val="en-GB"/>
        </w:rPr>
        <w:t xml:space="preserve">240 liquefaction plants </w:t>
      </w:r>
    </w:p>
    <w:p w14:paraId="7C83B1AC" w14:textId="77777777" w:rsidR="0045107A" w:rsidRPr="0045107A" w:rsidRDefault="0045107A" w:rsidP="0045107A">
      <w:pPr>
        <w:pStyle w:val="Default"/>
        <w:numPr>
          <w:ilvl w:val="0"/>
          <w:numId w:val="12"/>
        </w:numPr>
        <w:jc w:val="both"/>
        <w:rPr>
          <w:rFonts w:asciiTheme="minorHAnsi" w:eastAsiaTheme="minorHAnsi" w:hAnsiTheme="minorHAnsi" w:cstheme="minorHAnsi"/>
          <w:color w:val="auto"/>
          <w:sz w:val="22"/>
          <w:szCs w:val="22"/>
          <w:lang w:val="en-GB"/>
        </w:rPr>
      </w:pPr>
      <w:r w:rsidRPr="0045107A">
        <w:rPr>
          <w:rFonts w:asciiTheme="minorHAnsi" w:eastAsiaTheme="minorHAnsi" w:hAnsiTheme="minorHAnsi" w:cstheme="minorHAnsi"/>
          <w:color w:val="auto"/>
          <w:sz w:val="22"/>
          <w:szCs w:val="22"/>
          <w:lang w:val="en-GB"/>
        </w:rPr>
        <w:t xml:space="preserve">400 regasification plants </w:t>
      </w:r>
    </w:p>
    <w:p w14:paraId="63441688" w14:textId="77777777" w:rsidR="0045107A" w:rsidRPr="0045107A" w:rsidRDefault="0045107A" w:rsidP="0045107A">
      <w:pPr>
        <w:pStyle w:val="Default"/>
        <w:numPr>
          <w:ilvl w:val="0"/>
          <w:numId w:val="12"/>
        </w:numPr>
        <w:jc w:val="both"/>
        <w:rPr>
          <w:rFonts w:asciiTheme="minorHAnsi" w:eastAsiaTheme="minorHAnsi" w:hAnsiTheme="minorHAnsi" w:cstheme="minorHAnsi"/>
          <w:color w:val="auto"/>
          <w:sz w:val="22"/>
          <w:szCs w:val="22"/>
          <w:lang w:val="en-GB"/>
        </w:rPr>
      </w:pPr>
      <w:r w:rsidRPr="0045107A">
        <w:rPr>
          <w:rFonts w:asciiTheme="minorHAnsi" w:eastAsiaTheme="minorHAnsi" w:hAnsiTheme="minorHAnsi" w:cstheme="minorHAnsi"/>
          <w:color w:val="auto"/>
          <w:sz w:val="22"/>
          <w:szCs w:val="22"/>
          <w:lang w:val="en-GB"/>
        </w:rPr>
        <w:t xml:space="preserve">more than 5000 gas pipeline and shipping routes </w:t>
      </w:r>
    </w:p>
    <w:p w14:paraId="079789C8" w14:textId="77777777" w:rsidR="0045107A" w:rsidRPr="0045107A" w:rsidRDefault="0045107A" w:rsidP="0045107A">
      <w:pPr>
        <w:pStyle w:val="Default"/>
        <w:rPr>
          <w:rFonts w:asciiTheme="minorHAnsi" w:eastAsiaTheme="minorHAnsi" w:hAnsiTheme="minorHAnsi" w:cstheme="minorHAnsi"/>
          <w:color w:val="auto"/>
          <w:sz w:val="22"/>
          <w:szCs w:val="22"/>
          <w:lang w:val="en-GB"/>
        </w:rPr>
      </w:pPr>
      <w:r w:rsidRPr="0045107A">
        <w:rPr>
          <w:rFonts w:asciiTheme="minorHAnsi" w:eastAsiaTheme="minorHAnsi" w:hAnsiTheme="minorHAnsi" w:cstheme="minorHAnsi"/>
          <w:color w:val="auto"/>
          <w:sz w:val="22"/>
          <w:szCs w:val="22"/>
          <w:lang w:val="en-GB"/>
        </w:rPr>
        <w:t xml:space="preserve">The gas contracts database contains: </w:t>
      </w:r>
    </w:p>
    <w:p w14:paraId="5B8D6FA2" w14:textId="77777777" w:rsidR="0045107A" w:rsidRPr="0045107A" w:rsidRDefault="0045107A" w:rsidP="0045107A">
      <w:pPr>
        <w:pStyle w:val="Default"/>
        <w:numPr>
          <w:ilvl w:val="0"/>
          <w:numId w:val="12"/>
        </w:numPr>
        <w:jc w:val="both"/>
        <w:rPr>
          <w:rFonts w:asciiTheme="minorHAnsi" w:eastAsiaTheme="minorHAnsi" w:hAnsiTheme="minorHAnsi" w:cstheme="minorHAnsi"/>
          <w:color w:val="auto"/>
          <w:sz w:val="22"/>
          <w:szCs w:val="22"/>
          <w:lang w:val="en-GB"/>
        </w:rPr>
      </w:pPr>
      <w:r w:rsidRPr="0045107A">
        <w:rPr>
          <w:rFonts w:asciiTheme="minorHAnsi" w:eastAsiaTheme="minorHAnsi" w:hAnsiTheme="minorHAnsi" w:cstheme="minorHAnsi"/>
          <w:color w:val="auto"/>
          <w:sz w:val="22"/>
          <w:szCs w:val="22"/>
          <w:lang w:val="en-GB"/>
        </w:rPr>
        <w:t xml:space="preserve">Annual contracted and delivered volumes, including 600 contracts (country-to-country and non-dedicated), based on more than 1000 company-to-company contracts </w:t>
      </w:r>
    </w:p>
    <w:p w14:paraId="68A6E29E" w14:textId="114CB8A1" w:rsidR="00FD694C" w:rsidRPr="00CF7E9B" w:rsidRDefault="001D6CE2" w:rsidP="00FD694C">
      <w:pPr>
        <w:jc w:val="lowKashida"/>
      </w:pPr>
      <w:r>
        <w:t xml:space="preserve">Energy and natural gas demand forecasts </w:t>
      </w:r>
      <w:proofErr w:type="gramStart"/>
      <w:r>
        <w:t>are derived</w:t>
      </w:r>
      <w:proofErr w:type="gramEnd"/>
      <w:r>
        <w:t xml:space="preserve"> based on a set of scenario assumptions fed with over 100 indicators on macro and energy price data, utilizing econometric modelling techniques with the time-series dating back to 1990. Policy measures </w:t>
      </w:r>
      <w:proofErr w:type="gramStart"/>
      <w:r>
        <w:t>are taken</w:t>
      </w:r>
      <w:proofErr w:type="gramEnd"/>
      <w:r>
        <w:t xml:space="preserve"> into consideration at each stage of this process. Solving for the demand produces the gas demand curve</w:t>
      </w:r>
      <w:r w:rsidRPr="002E32FF">
        <w:t xml:space="preserve"> for each country</w:t>
      </w:r>
      <w:r>
        <w:t>.</w:t>
      </w:r>
      <w:r w:rsidR="00A93CC8">
        <w:t xml:space="preserve"> </w:t>
      </w:r>
      <w:r w:rsidR="00FD694C" w:rsidRPr="00CF7E9B">
        <w:t xml:space="preserve">All of the sub-models </w:t>
      </w:r>
      <w:proofErr w:type="gramStart"/>
      <w:r w:rsidR="00FD694C" w:rsidRPr="00CF7E9B">
        <w:t>have been calibrated a</w:t>
      </w:r>
      <w:r w:rsidR="00FD694C">
        <w:t xml:space="preserve">nd based on 2017 </w:t>
      </w:r>
      <w:r w:rsidR="00FD694C" w:rsidRPr="00CF7E9B">
        <w:t>as the last available year of historical data</w:t>
      </w:r>
      <w:proofErr w:type="gramEnd"/>
      <w:r w:rsidR="00FD694C" w:rsidRPr="00CF7E9B">
        <w:t xml:space="preserve">. </w:t>
      </w:r>
    </w:p>
    <w:p w14:paraId="0F6413B9" w14:textId="7B293852" w:rsidR="009A68C1" w:rsidRPr="00AF51A2" w:rsidRDefault="009A68C1" w:rsidP="00AF51A2">
      <w:pPr>
        <w:jc w:val="lowKashida"/>
        <w:rPr>
          <w:b/>
        </w:rPr>
      </w:pPr>
      <w:r w:rsidRPr="00AF51A2">
        <w:rPr>
          <w:b/>
        </w:rPr>
        <w:t xml:space="preserve">GGM </w:t>
      </w:r>
      <w:r w:rsidR="00C123A6">
        <w:rPr>
          <w:b/>
        </w:rPr>
        <w:t xml:space="preserve">natural gas </w:t>
      </w:r>
      <w:r w:rsidRPr="00AF51A2">
        <w:rPr>
          <w:b/>
        </w:rPr>
        <w:t>supply and trade module</w:t>
      </w:r>
    </w:p>
    <w:p w14:paraId="2EEE01FA" w14:textId="3C98CDF6" w:rsidR="00FD694C" w:rsidRDefault="00AF51A2" w:rsidP="00FD694C">
      <w:pPr>
        <w:jc w:val="lowKashida"/>
      </w:pPr>
      <w:r w:rsidRPr="00387559">
        <w:t>T</w:t>
      </w:r>
      <w:r w:rsidR="00FD694C" w:rsidRPr="00387559">
        <w:t xml:space="preserve">he GECF GGM </w:t>
      </w:r>
      <w:r w:rsidRPr="00387559">
        <w:t>prioritizes to the delivery of all volumes of natural gas that are already contracted (called “obligated trade”), using</w:t>
      </w:r>
      <w:r w:rsidR="00FD694C">
        <w:t xml:space="preserve"> contract and infrastructure databases, although prioritization does not necessarily guarantee there is enough feed gas or transport capacity to deliver.</w:t>
      </w:r>
      <w:r w:rsidR="00FD694C" w:rsidRPr="00843036">
        <w:t xml:space="preserve"> </w:t>
      </w:r>
    </w:p>
    <w:p w14:paraId="1F2A8F84" w14:textId="39ACD893" w:rsidR="00C97060" w:rsidRDefault="00FD694C" w:rsidP="00FD694C">
      <w:pPr>
        <w:jc w:val="lowKashida"/>
      </w:pPr>
      <w:r w:rsidRPr="00843036">
        <w:t xml:space="preserve">The remaining </w:t>
      </w:r>
      <w:r>
        <w:t>volumes of natural gas</w:t>
      </w:r>
      <w:r w:rsidR="00C97060">
        <w:t>,</w:t>
      </w:r>
      <w:r>
        <w:t xml:space="preserve"> </w:t>
      </w:r>
      <w:r w:rsidR="00C97060">
        <w:t xml:space="preserve">if any, </w:t>
      </w:r>
      <w:proofErr w:type="gramStart"/>
      <w:r>
        <w:t xml:space="preserve">are offered on the </w:t>
      </w:r>
      <w:r w:rsidR="00C97060">
        <w:t xml:space="preserve">free </w:t>
      </w:r>
      <w:r>
        <w:t>market</w:t>
      </w:r>
      <w:r w:rsidR="00C97060">
        <w:t>,</w:t>
      </w:r>
      <w:r>
        <w:t xml:space="preserve"> and priced </w:t>
      </w:r>
      <w:r w:rsidR="00C97060">
        <w:t xml:space="preserve">to each possible delivery point </w:t>
      </w:r>
      <w:r>
        <w:t>according to a cost curve of production and shipping components</w:t>
      </w:r>
      <w:proofErr w:type="gramEnd"/>
      <w:r>
        <w:t xml:space="preserve">. </w:t>
      </w:r>
      <w:r w:rsidR="00C97060">
        <w:t xml:space="preserve">The costs are the cumulative productions capital costs depreciation, operating expenses, </w:t>
      </w:r>
      <w:proofErr w:type="gramStart"/>
      <w:r w:rsidR="00C97060">
        <w:t>plus</w:t>
      </w:r>
      <w:proofErr w:type="gramEnd"/>
      <w:r w:rsidR="00C97060">
        <w:t xml:space="preserve"> the transport costs either via pipeline (charged per </w:t>
      </w:r>
      <w:proofErr w:type="spellStart"/>
      <w:r w:rsidR="00C97060">
        <w:t>mcf</w:t>
      </w:r>
      <w:proofErr w:type="spellEnd"/>
      <w:r w:rsidR="00C97060">
        <w:t xml:space="preserve"> per km) or LNG (charged per </w:t>
      </w:r>
      <w:proofErr w:type="spellStart"/>
      <w:r w:rsidR="00C97060">
        <w:t>mcf</w:t>
      </w:r>
      <w:proofErr w:type="spellEnd"/>
      <w:r w:rsidR="00C97060">
        <w:t xml:space="preserve"> for capital costs depreciation, operating expenses and shipping freight rates</w:t>
      </w:r>
      <w:r w:rsidR="00903145">
        <w:t xml:space="preserve"> per day</w:t>
      </w:r>
      <w:r w:rsidR="00C123A6">
        <w:t>) for every point to point connection on the network.</w:t>
      </w:r>
    </w:p>
    <w:p w14:paraId="7BCE9634" w14:textId="7E18B031" w:rsidR="00FD694C" w:rsidRDefault="00C97060" w:rsidP="00FD694C">
      <w:pPr>
        <w:jc w:val="lowKashida"/>
      </w:pPr>
      <w:r>
        <w:t>T</w:t>
      </w:r>
      <w:r w:rsidR="00FD694C">
        <w:t xml:space="preserve">he market clearing process establishes </w:t>
      </w:r>
      <w:r>
        <w:t xml:space="preserve">natural gas flows that form the actual cost curve, and the </w:t>
      </w:r>
      <w:r w:rsidR="00FD694C">
        <w:t xml:space="preserve">natural gas prices for gas-to-gas competition volumes, </w:t>
      </w:r>
      <w:r w:rsidR="00FD694C" w:rsidRPr="00387559">
        <w:t>while considering all</w:t>
      </w:r>
      <w:r w:rsidR="00FD694C" w:rsidRPr="00843036">
        <w:t xml:space="preserve"> </w:t>
      </w:r>
      <w:r w:rsidR="00FD694C">
        <w:t xml:space="preserve">the imposed </w:t>
      </w:r>
      <w:r w:rsidR="00FD694C" w:rsidRPr="00843036">
        <w:t>technical, financial and market</w:t>
      </w:r>
      <w:r w:rsidR="00FD694C">
        <w:t xml:space="preserve"> restrictions</w:t>
      </w:r>
      <w:r w:rsidR="00FD694C" w:rsidRPr="00843036">
        <w:t>.</w:t>
      </w:r>
      <w:r w:rsidR="00FD694C">
        <w:t xml:space="preserve"> Re-export flows are not evaluated separately, and in this </w:t>
      </w:r>
      <w:proofErr w:type="gramStart"/>
      <w:r w:rsidR="00FD694C">
        <w:t>sense</w:t>
      </w:r>
      <w:proofErr w:type="gramEnd"/>
      <w:r w:rsidR="00FD694C">
        <w:t xml:space="preserve"> all trade flows reported are final destination flows. </w:t>
      </w:r>
    </w:p>
    <w:p w14:paraId="4010A4E8" w14:textId="77777777" w:rsidR="00A93CC8" w:rsidRDefault="00A93CC8" w:rsidP="00FD694C">
      <w:pPr>
        <w:jc w:val="lowKashida"/>
      </w:pPr>
    </w:p>
    <w:p w14:paraId="0682CF5B" w14:textId="2DE83F16" w:rsidR="009A68C1" w:rsidRPr="00A272EF" w:rsidRDefault="009A68C1" w:rsidP="00A272EF">
      <w:pPr>
        <w:pStyle w:val="Heading1"/>
        <w:spacing w:after="240"/>
        <w:jc w:val="lowKashida"/>
        <w:rPr>
          <w:rFonts w:cs="Helvetica"/>
        </w:rPr>
      </w:pPr>
      <w:bookmarkStart w:id="72" w:name="_Toc1561784"/>
      <w:bookmarkStart w:id="73" w:name="_Toc1561839"/>
      <w:bookmarkStart w:id="74" w:name="_Toc1561967"/>
      <w:bookmarkStart w:id="75" w:name="_Toc1661457"/>
      <w:r w:rsidRPr="00A272EF">
        <w:rPr>
          <w:rFonts w:cs="Helvetica"/>
        </w:rPr>
        <w:lastRenderedPageBreak/>
        <w:t>Quantifying scenario assumptions</w:t>
      </w:r>
      <w:bookmarkEnd w:id="72"/>
      <w:bookmarkEnd w:id="73"/>
      <w:bookmarkEnd w:id="74"/>
      <w:bookmarkEnd w:id="75"/>
    </w:p>
    <w:p w14:paraId="41C8F32D" w14:textId="6AE3E970" w:rsidR="00FD694C" w:rsidRPr="00387559" w:rsidRDefault="00387559" w:rsidP="00387559">
      <w:pPr>
        <w:jc w:val="lowKashida"/>
      </w:pPr>
      <w:r w:rsidRPr="00387559">
        <w:t xml:space="preserve">To model oversupply, </w:t>
      </w:r>
      <w:r>
        <w:t xml:space="preserve">the model inputs </w:t>
      </w:r>
      <w:proofErr w:type="gramStart"/>
      <w:r>
        <w:t>are modified</w:t>
      </w:r>
      <w:proofErr w:type="gramEnd"/>
      <w:r>
        <w:t xml:space="preserve"> as such: </w:t>
      </w:r>
    </w:p>
    <w:p w14:paraId="7961FDAE" w14:textId="77777777" w:rsidR="00DD7E53" w:rsidRDefault="00DD7E53" w:rsidP="00387559">
      <w:pPr>
        <w:pStyle w:val="ListParagraph"/>
        <w:numPr>
          <w:ilvl w:val="0"/>
          <w:numId w:val="18"/>
        </w:numPr>
        <w:jc w:val="lowKashida"/>
      </w:pPr>
      <w:r>
        <w:t>Liquefaction facility schedules</w:t>
      </w:r>
    </w:p>
    <w:p w14:paraId="2F94BBBF" w14:textId="6AA7D9C8" w:rsidR="00DD7E53" w:rsidRDefault="00DD7E53" w:rsidP="004935EC">
      <w:pPr>
        <w:pStyle w:val="ListParagraph"/>
        <w:numPr>
          <w:ilvl w:val="1"/>
          <w:numId w:val="18"/>
        </w:numPr>
        <w:jc w:val="lowKashida"/>
      </w:pPr>
      <w:r>
        <w:t xml:space="preserve">Russia: Arctic LNG II </w:t>
      </w:r>
      <w:r w:rsidR="00387559">
        <w:t>moved</w:t>
      </w:r>
      <w:r>
        <w:t xml:space="preserve"> from 2030 to 2025</w:t>
      </w:r>
      <w:r w:rsidR="00387559">
        <w:t xml:space="preserve">, </w:t>
      </w:r>
      <w:r>
        <w:t>Pechora LNG – cancelled (</w:t>
      </w:r>
      <w:r w:rsidR="00387559">
        <w:t xml:space="preserve">moved </w:t>
      </w:r>
      <w:r>
        <w:t>2019 to 2041)</w:t>
      </w:r>
    </w:p>
    <w:p w14:paraId="77F36094" w14:textId="2CE16D3F" w:rsidR="00DD7E53" w:rsidRDefault="00DD7E53" w:rsidP="004935EC">
      <w:pPr>
        <w:pStyle w:val="ListParagraph"/>
        <w:numPr>
          <w:ilvl w:val="1"/>
          <w:numId w:val="18"/>
        </w:numPr>
        <w:jc w:val="lowKashida"/>
      </w:pPr>
      <w:r>
        <w:t xml:space="preserve">US: </w:t>
      </w:r>
      <w:r w:rsidR="00387559">
        <w:t>all plants’ cost is assumed to depreciate over 30 years, for Alaska plant the tax rate is cancelled</w:t>
      </w:r>
    </w:p>
    <w:p w14:paraId="26C1A00D" w14:textId="0753D899" w:rsidR="00DD7E53" w:rsidRDefault="00DD7E53" w:rsidP="004935EC">
      <w:pPr>
        <w:pStyle w:val="ListParagraph"/>
        <w:numPr>
          <w:ilvl w:val="1"/>
          <w:numId w:val="18"/>
        </w:numPr>
        <w:jc w:val="lowKashida"/>
      </w:pPr>
      <w:r>
        <w:t xml:space="preserve">Qatar: </w:t>
      </w:r>
      <w:r w:rsidR="00387559">
        <w:t>Assumed to come online in 2022, not 2025</w:t>
      </w:r>
    </w:p>
    <w:p w14:paraId="62EB623E" w14:textId="39EB9966" w:rsidR="00DD7E53" w:rsidRDefault="00DD7E53" w:rsidP="004935EC">
      <w:pPr>
        <w:pStyle w:val="ListParagraph"/>
        <w:numPr>
          <w:ilvl w:val="1"/>
          <w:numId w:val="18"/>
        </w:numPr>
        <w:jc w:val="lowKashida"/>
      </w:pPr>
      <w:r>
        <w:t xml:space="preserve">Australia: </w:t>
      </w:r>
      <w:r w:rsidR="004935EC">
        <w:t>all plants’ cost is assumed to depreciate over 30 years</w:t>
      </w:r>
    </w:p>
    <w:p w14:paraId="31EF75C8" w14:textId="77777777" w:rsidR="00DD7E53" w:rsidRDefault="00DD7E53" w:rsidP="004935EC">
      <w:pPr>
        <w:pStyle w:val="ListParagraph"/>
        <w:numPr>
          <w:ilvl w:val="0"/>
          <w:numId w:val="18"/>
        </w:numPr>
        <w:jc w:val="lowKashida"/>
      </w:pPr>
      <w:r>
        <w:t xml:space="preserve">Contracts: </w:t>
      </w:r>
    </w:p>
    <w:p w14:paraId="4A864BC7" w14:textId="77777777" w:rsidR="00DD7E53" w:rsidRDefault="00DD7E53" w:rsidP="004935EC">
      <w:pPr>
        <w:pStyle w:val="ListParagraph"/>
        <w:numPr>
          <w:ilvl w:val="1"/>
          <w:numId w:val="18"/>
        </w:numPr>
        <w:jc w:val="lowKashida"/>
      </w:pPr>
      <w:r>
        <w:t xml:space="preserve">Removed destination clauses from all Asian contracts starting 2020, and from all shipments starting 2022. </w:t>
      </w:r>
    </w:p>
    <w:p w14:paraId="1D15EE22" w14:textId="77777777" w:rsidR="00DD7E53" w:rsidRDefault="00DD7E53" w:rsidP="004935EC">
      <w:pPr>
        <w:pStyle w:val="ListParagraph"/>
        <w:numPr>
          <w:ilvl w:val="1"/>
          <w:numId w:val="18"/>
        </w:numPr>
        <w:jc w:val="lowKashida"/>
      </w:pPr>
      <w:r>
        <w:t xml:space="preserve">Ceased contracts with Japan and South Korea, and also all Russian contracts with Europe </w:t>
      </w:r>
    </w:p>
    <w:p w14:paraId="6D5D43D9" w14:textId="0078EE08" w:rsidR="00DD7E53" w:rsidRDefault="00DD7E53" w:rsidP="004935EC">
      <w:pPr>
        <w:pStyle w:val="ListParagraph"/>
        <w:numPr>
          <w:ilvl w:val="1"/>
          <w:numId w:val="18"/>
        </w:numPr>
        <w:jc w:val="lowKashida"/>
      </w:pPr>
      <w:r>
        <w:t>Increased depreciation time to 30 years for US and Canada plants</w:t>
      </w:r>
    </w:p>
    <w:p w14:paraId="3A5053EA" w14:textId="155307B0" w:rsidR="00A93CC8" w:rsidRDefault="00A93CC8" w:rsidP="00A93CC8">
      <w:pPr>
        <w:jc w:val="lowKashida"/>
      </w:pPr>
      <w:r>
        <w:t xml:space="preserve">All the other parameters retain the </w:t>
      </w:r>
      <w:proofErr w:type="spellStart"/>
      <w:r>
        <w:t>Ref.Case</w:t>
      </w:r>
      <w:proofErr w:type="spellEnd"/>
      <w:r>
        <w:t xml:space="preserve"> scenario values, so that the scenario </w:t>
      </w:r>
      <w:proofErr w:type="gramStart"/>
      <w:r>
        <w:t>could be easily benchmarked</w:t>
      </w:r>
      <w:proofErr w:type="gramEnd"/>
      <w:r>
        <w:t xml:space="preserve">. </w:t>
      </w:r>
    </w:p>
    <w:p w14:paraId="2D5A97F9" w14:textId="5F1F9E7E" w:rsidR="00862D64" w:rsidRDefault="00862D64" w:rsidP="00A93CC8">
      <w:pPr>
        <w:jc w:val="lowKashida"/>
      </w:pPr>
      <w:r>
        <w:t xml:space="preserve">The special case of modelling included disabling all the contract structure for the forecast, so that </w:t>
      </w:r>
      <w:r w:rsidR="00D57C66">
        <w:t xml:space="preserve">the effect of gas market liberalization </w:t>
      </w:r>
      <w:proofErr w:type="gramStart"/>
      <w:r w:rsidR="00D57C66">
        <w:t>would be fully accounted for</w:t>
      </w:r>
      <w:proofErr w:type="gramEnd"/>
      <w:r w:rsidR="00D57C66">
        <w:t>. This models the renegotiation of most contracts as the capacity oversupply takes place.</w:t>
      </w:r>
    </w:p>
    <w:p w14:paraId="3888F9C1" w14:textId="41B1F205" w:rsidR="0084789D" w:rsidRPr="00A272EF" w:rsidRDefault="0084789D" w:rsidP="00A272EF">
      <w:pPr>
        <w:pStyle w:val="Heading1"/>
        <w:spacing w:after="240"/>
        <w:jc w:val="lowKashida"/>
        <w:rPr>
          <w:rFonts w:cs="Helvetica"/>
        </w:rPr>
      </w:pPr>
      <w:bookmarkStart w:id="76" w:name="_Toc1561785"/>
      <w:bookmarkStart w:id="77" w:name="_Toc1561840"/>
      <w:bookmarkStart w:id="78" w:name="_Toc1561968"/>
      <w:bookmarkStart w:id="79" w:name="_Toc1661458"/>
      <w:r w:rsidRPr="00A272EF">
        <w:rPr>
          <w:rFonts w:cs="Helvetica"/>
        </w:rPr>
        <w:t>Scenario modelling results</w:t>
      </w:r>
      <w:bookmarkEnd w:id="76"/>
      <w:bookmarkEnd w:id="77"/>
      <w:bookmarkEnd w:id="78"/>
      <w:bookmarkEnd w:id="79"/>
    </w:p>
    <w:p w14:paraId="20FAE420" w14:textId="2EAFAE36" w:rsidR="001253B7" w:rsidRPr="00ED3932" w:rsidRDefault="001253B7" w:rsidP="004935EC">
      <w:pPr>
        <w:jc w:val="lowKashida"/>
      </w:pPr>
      <w:r w:rsidRPr="00ED3932">
        <w:t xml:space="preserve">The results confirm that the market design is central to the structure of LNG flows. </w:t>
      </w:r>
      <w:r w:rsidR="000C2173">
        <w:t xml:space="preserve">Specifically, the role of contract obligations matter in situations the market </w:t>
      </w:r>
      <w:proofErr w:type="gramStart"/>
      <w:r w:rsidR="000C2173">
        <w:t>is hit</w:t>
      </w:r>
      <w:proofErr w:type="gramEnd"/>
      <w:r w:rsidR="000C2173">
        <w:t xml:space="preserve"> with the oversupply. </w:t>
      </w:r>
      <w:r w:rsidRPr="00ED3932">
        <w:t xml:space="preserve">As Asian and Latin American contracts are currently largely oil-indexed, the supply and demand fluctuations in the oil and gas markets create frictions that </w:t>
      </w:r>
      <w:proofErr w:type="gramStart"/>
      <w:r w:rsidRPr="00ED3932">
        <w:t>are removed</w:t>
      </w:r>
      <w:proofErr w:type="gramEnd"/>
      <w:r w:rsidRPr="00ED3932">
        <w:t xml:space="preserve"> via renegotiations only after some time (</w:t>
      </w:r>
      <w:proofErr w:type="spellStart"/>
      <w:r w:rsidRPr="00ED3932">
        <w:t>Agerton</w:t>
      </w:r>
      <w:proofErr w:type="spellEnd"/>
      <w:r w:rsidRPr="00ED3932">
        <w:t xml:space="preserve">, 2016). While those contracts are necessary to make LNG and upstream projects bankable, there is a strong policy-directed trend towards greater flexibility of the gas market, especially in Asia (Stern, 2016; </w:t>
      </w:r>
      <w:proofErr w:type="spellStart"/>
      <w:r w:rsidRPr="00ED3932">
        <w:t>Niyazmuradov</w:t>
      </w:r>
      <w:proofErr w:type="spellEnd"/>
      <w:r w:rsidRPr="00ED3932">
        <w:t xml:space="preserve"> and </w:t>
      </w:r>
      <w:proofErr w:type="spellStart"/>
      <w:r w:rsidRPr="00ED3932">
        <w:t>Heo</w:t>
      </w:r>
      <w:proofErr w:type="spellEnd"/>
      <w:r w:rsidRPr="00ED3932">
        <w:t xml:space="preserve">, 2018). </w:t>
      </w:r>
    </w:p>
    <w:p w14:paraId="540E520D" w14:textId="2F17E34F" w:rsidR="001253B7" w:rsidRPr="00ED3932" w:rsidRDefault="001253B7" w:rsidP="004935EC">
      <w:pPr>
        <w:jc w:val="lowKashida"/>
      </w:pPr>
      <w:r w:rsidRPr="00ED3932">
        <w:t xml:space="preserve">The assumptions for </w:t>
      </w:r>
      <w:r w:rsidR="00373E09">
        <w:t xml:space="preserve">LNG </w:t>
      </w:r>
      <w:r w:rsidRPr="00ED3932">
        <w:t xml:space="preserve">supply overcapacity allow us to reduce the price to the new level of the marginal costs, as there is a certain level of required capacity utilization for liquefaction facilities. The demand reaction is characteristic depending on the flexibility of the market. </w:t>
      </w:r>
    </w:p>
    <w:p w14:paraId="62FA33D1" w14:textId="12A54748" w:rsidR="001253B7" w:rsidRPr="00ED3932" w:rsidRDefault="001253B7" w:rsidP="005730C7">
      <w:pPr>
        <w:pStyle w:val="Heading4"/>
        <w:jc w:val="center"/>
      </w:pPr>
      <w:bookmarkStart w:id="80" w:name="_Toc1561786"/>
      <w:bookmarkStart w:id="81" w:name="_Toc1561969"/>
      <w:bookmarkStart w:id="82" w:name="_Toc1661459"/>
      <w:r w:rsidRPr="00ED3932">
        <w:t xml:space="preserve">Table </w:t>
      </w:r>
      <w:r w:rsidR="008A47BC" w:rsidRPr="00ED3932">
        <w:t>7:</w:t>
      </w:r>
      <w:r w:rsidRPr="00ED3932">
        <w:t xml:space="preserve"> Natural gas demand and trade, total and by region, </w:t>
      </w:r>
      <w:proofErr w:type="spellStart"/>
      <w:r w:rsidRPr="00ED3932">
        <w:t>bcm</w:t>
      </w:r>
      <w:bookmarkEnd w:id="80"/>
      <w:bookmarkEnd w:id="81"/>
      <w:bookmarkEnd w:id="82"/>
      <w:proofErr w:type="spellEnd"/>
    </w:p>
    <w:tbl>
      <w:tblPr>
        <w:tblW w:w="6545" w:type="dxa"/>
        <w:jc w:val="center"/>
        <w:tblLook w:val="04A0" w:firstRow="1" w:lastRow="0" w:firstColumn="1" w:lastColumn="0" w:noHBand="0" w:noVBand="1"/>
      </w:tblPr>
      <w:tblGrid>
        <w:gridCol w:w="1369"/>
        <w:gridCol w:w="974"/>
        <w:gridCol w:w="716"/>
        <w:gridCol w:w="876"/>
        <w:gridCol w:w="1201"/>
        <w:gridCol w:w="1620"/>
      </w:tblGrid>
      <w:tr w:rsidR="001253B7" w:rsidRPr="00ED3932" w14:paraId="740D29B6" w14:textId="77777777" w:rsidTr="006E2833">
        <w:trPr>
          <w:trHeight w:val="47"/>
          <w:jc w:val="center"/>
        </w:trPr>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2C845" w14:textId="77777777" w:rsidR="001253B7" w:rsidRPr="00ED3932" w:rsidRDefault="001253B7" w:rsidP="002714D1">
            <w:pPr>
              <w:spacing w:after="0" w:line="240" w:lineRule="auto"/>
              <w:jc w:val="center"/>
              <w:rPr>
                <w:rFonts w:ascii="Times New Roman" w:eastAsia="Times New Roman" w:hAnsi="Times New Roman" w:cs="Times New Roman"/>
                <w:color w:val="000000"/>
                <w:sz w:val="16"/>
                <w:szCs w:val="20"/>
              </w:rPr>
            </w:pPr>
            <w:r w:rsidRPr="00ED3932">
              <w:rPr>
                <w:rFonts w:ascii="Times New Roman" w:eastAsia="Times New Roman" w:hAnsi="Times New Roman" w:cs="Times New Roman"/>
                <w:color w:val="000000"/>
                <w:sz w:val="16"/>
                <w:szCs w:val="20"/>
              </w:rPr>
              <w:t> </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06E9D5C3" w14:textId="77777777" w:rsidR="001253B7" w:rsidRPr="00ED3932" w:rsidRDefault="001253B7" w:rsidP="002714D1">
            <w:pPr>
              <w:spacing w:after="0" w:line="240" w:lineRule="auto"/>
              <w:jc w:val="center"/>
              <w:rPr>
                <w:rFonts w:ascii="Calibri" w:eastAsia="Times New Roman" w:hAnsi="Calibri" w:cs="Times New Roman"/>
                <w:color w:val="000000"/>
              </w:rPr>
            </w:pPr>
            <w:proofErr w:type="spellStart"/>
            <w:r w:rsidRPr="00ED3932">
              <w:rPr>
                <w:rFonts w:ascii="Calibri" w:eastAsia="Times New Roman" w:hAnsi="Calibri" w:cs="Times New Roman"/>
                <w:color w:val="000000"/>
              </w:rPr>
              <w:t>Bcm</w:t>
            </w:r>
            <w:proofErr w:type="spellEnd"/>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53BA5362"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2017</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2E1DC3A0"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2040 - Ref. case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6E68F9D" w14:textId="4FAA49DC" w:rsidR="001253B7" w:rsidRPr="00ED3932" w:rsidRDefault="001253B7" w:rsidP="00DF464F">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 xml:space="preserve">2040 - LNG </w:t>
            </w:r>
            <w:r w:rsidR="00DF464F" w:rsidRPr="00ED3932">
              <w:rPr>
                <w:rFonts w:ascii="Calibri" w:eastAsia="Times New Roman" w:hAnsi="Calibri" w:cs="Times New Roman"/>
                <w:color w:val="000000"/>
              </w:rPr>
              <w:t xml:space="preserve">oversupply </w:t>
            </w:r>
            <w:r w:rsidRPr="00ED3932">
              <w:rPr>
                <w:rFonts w:ascii="Calibri" w:eastAsia="Times New Roman" w:hAnsi="Calibri" w:cs="Times New Roman"/>
                <w:color w:val="000000"/>
              </w:rPr>
              <w:t>case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620669C" w14:textId="04C746EC" w:rsidR="001253B7" w:rsidRPr="00ED3932" w:rsidRDefault="001253B7" w:rsidP="00DF464F">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 xml:space="preserve">2040 - LNG </w:t>
            </w:r>
            <w:proofErr w:type="spellStart"/>
            <w:r w:rsidR="00DF464F" w:rsidRPr="00ED3932">
              <w:rPr>
                <w:rFonts w:ascii="Calibri" w:eastAsia="Times New Roman" w:hAnsi="Calibri" w:cs="Times New Roman"/>
                <w:color w:val="000000"/>
              </w:rPr>
              <w:t>oversuppl</w:t>
            </w:r>
            <w:r w:rsidRPr="00ED3932">
              <w:rPr>
                <w:rFonts w:ascii="Calibri" w:eastAsia="Times New Roman" w:hAnsi="Calibri" w:cs="Times New Roman"/>
                <w:color w:val="000000"/>
              </w:rPr>
              <w:t>case</w:t>
            </w:r>
            <w:proofErr w:type="spellEnd"/>
            <w:r w:rsidRPr="00ED3932">
              <w:rPr>
                <w:rFonts w:ascii="Calibri" w:eastAsia="Times New Roman" w:hAnsi="Calibri" w:cs="Times New Roman"/>
                <w:color w:val="000000"/>
              </w:rPr>
              <w:t xml:space="preserve"> + full gas-to-gas </w:t>
            </w:r>
            <w:proofErr w:type="spellStart"/>
            <w:r w:rsidRPr="00ED3932">
              <w:rPr>
                <w:rFonts w:ascii="Calibri" w:eastAsia="Times New Roman" w:hAnsi="Calibri" w:cs="Times New Roman"/>
                <w:color w:val="000000"/>
              </w:rPr>
              <w:t>competititon</w:t>
            </w:r>
            <w:proofErr w:type="spellEnd"/>
          </w:p>
        </w:tc>
      </w:tr>
      <w:tr w:rsidR="001253B7" w:rsidRPr="00ED3932" w14:paraId="7B2330A9" w14:textId="77777777" w:rsidTr="006E2833">
        <w:trPr>
          <w:trHeight w:val="47"/>
          <w:jc w:val="center"/>
        </w:trPr>
        <w:tc>
          <w:tcPr>
            <w:tcW w:w="13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06306A"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World</w:t>
            </w:r>
          </w:p>
        </w:tc>
        <w:tc>
          <w:tcPr>
            <w:tcW w:w="974" w:type="dxa"/>
            <w:tcBorders>
              <w:top w:val="nil"/>
              <w:left w:val="nil"/>
              <w:bottom w:val="single" w:sz="4" w:space="0" w:color="auto"/>
              <w:right w:val="single" w:sz="4" w:space="0" w:color="auto"/>
            </w:tcBorders>
            <w:shd w:val="clear" w:color="auto" w:fill="auto"/>
            <w:noWrap/>
            <w:vAlign w:val="center"/>
            <w:hideMark/>
          </w:tcPr>
          <w:p w14:paraId="607C31BD"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Demand</w:t>
            </w:r>
          </w:p>
        </w:tc>
        <w:tc>
          <w:tcPr>
            <w:tcW w:w="716" w:type="dxa"/>
            <w:tcBorders>
              <w:top w:val="nil"/>
              <w:left w:val="nil"/>
              <w:bottom w:val="single" w:sz="4" w:space="0" w:color="auto"/>
              <w:right w:val="single" w:sz="4" w:space="0" w:color="auto"/>
            </w:tcBorders>
            <w:shd w:val="clear" w:color="auto" w:fill="auto"/>
            <w:noWrap/>
            <w:vAlign w:val="center"/>
            <w:hideMark/>
          </w:tcPr>
          <w:p w14:paraId="178D1AB2"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3709</w:t>
            </w:r>
          </w:p>
        </w:tc>
        <w:tc>
          <w:tcPr>
            <w:tcW w:w="876" w:type="dxa"/>
            <w:tcBorders>
              <w:top w:val="nil"/>
              <w:left w:val="nil"/>
              <w:bottom w:val="single" w:sz="4" w:space="0" w:color="auto"/>
              <w:right w:val="single" w:sz="4" w:space="0" w:color="auto"/>
            </w:tcBorders>
            <w:shd w:val="clear" w:color="auto" w:fill="auto"/>
            <w:noWrap/>
            <w:vAlign w:val="center"/>
            <w:hideMark/>
          </w:tcPr>
          <w:p w14:paraId="1B45DBE2"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5427</w:t>
            </w:r>
          </w:p>
        </w:tc>
        <w:tc>
          <w:tcPr>
            <w:tcW w:w="990" w:type="dxa"/>
            <w:tcBorders>
              <w:top w:val="nil"/>
              <w:left w:val="nil"/>
              <w:bottom w:val="single" w:sz="4" w:space="0" w:color="auto"/>
              <w:right w:val="single" w:sz="4" w:space="0" w:color="auto"/>
            </w:tcBorders>
            <w:shd w:val="clear" w:color="auto" w:fill="auto"/>
            <w:noWrap/>
            <w:vAlign w:val="center"/>
            <w:hideMark/>
          </w:tcPr>
          <w:p w14:paraId="62112FF0"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5618</w:t>
            </w:r>
          </w:p>
        </w:tc>
        <w:tc>
          <w:tcPr>
            <w:tcW w:w="1620" w:type="dxa"/>
            <w:tcBorders>
              <w:top w:val="nil"/>
              <w:left w:val="nil"/>
              <w:bottom w:val="single" w:sz="4" w:space="0" w:color="auto"/>
              <w:right w:val="single" w:sz="4" w:space="0" w:color="auto"/>
            </w:tcBorders>
            <w:shd w:val="clear" w:color="auto" w:fill="auto"/>
            <w:noWrap/>
            <w:vAlign w:val="center"/>
            <w:hideMark/>
          </w:tcPr>
          <w:p w14:paraId="4868E4ED"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5851</w:t>
            </w:r>
          </w:p>
        </w:tc>
      </w:tr>
      <w:tr w:rsidR="001253B7" w:rsidRPr="00ED3932" w14:paraId="72DE8732" w14:textId="77777777" w:rsidTr="006E2833">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14:paraId="100EB810" w14:textId="77777777" w:rsidR="001253B7" w:rsidRPr="00ED3932" w:rsidRDefault="001253B7" w:rsidP="000823BE">
            <w:pPr>
              <w:spacing w:after="0" w:line="240" w:lineRule="auto"/>
              <w:jc w:val="center"/>
              <w:rPr>
                <w:rFonts w:ascii="Calibri" w:eastAsia="Times New Roman" w:hAnsi="Calibri" w:cs="Times New Roman"/>
                <w:color w:val="000000"/>
              </w:rPr>
            </w:pPr>
          </w:p>
        </w:tc>
        <w:tc>
          <w:tcPr>
            <w:tcW w:w="974" w:type="dxa"/>
            <w:tcBorders>
              <w:top w:val="nil"/>
              <w:left w:val="nil"/>
              <w:bottom w:val="single" w:sz="4" w:space="0" w:color="auto"/>
              <w:right w:val="single" w:sz="4" w:space="0" w:color="auto"/>
            </w:tcBorders>
            <w:shd w:val="clear" w:color="auto" w:fill="auto"/>
            <w:noWrap/>
            <w:vAlign w:val="center"/>
            <w:hideMark/>
          </w:tcPr>
          <w:p w14:paraId="1FB7EA3F"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Imports</w:t>
            </w:r>
          </w:p>
        </w:tc>
        <w:tc>
          <w:tcPr>
            <w:tcW w:w="716" w:type="dxa"/>
            <w:tcBorders>
              <w:top w:val="nil"/>
              <w:left w:val="nil"/>
              <w:bottom w:val="single" w:sz="4" w:space="0" w:color="auto"/>
              <w:right w:val="single" w:sz="4" w:space="0" w:color="auto"/>
            </w:tcBorders>
            <w:shd w:val="clear" w:color="auto" w:fill="auto"/>
            <w:noWrap/>
            <w:vAlign w:val="center"/>
            <w:hideMark/>
          </w:tcPr>
          <w:p w14:paraId="6DA241B5"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1094</w:t>
            </w:r>
          </w:p>
        </w:tc>
        <w:tc>
          <w:tcPr>
            <w:tcW w:w="876" w:type="dxa"/>
            <w:tcBorders>
              <w:top w:val="nil"/>
              <w:left w:val="nil"/>
              <w:bottom w:val="single" w:sz="4" w:space="0" w:color="auto"/>
              <w:right w:val="single" w:sz="4" w:space="0" w:color="auto"/>
            </w:tcBorders>
            <w:shd w:val="clear" w:color="auto" w:fill="auto"/>
            <w:noWrap/>
            <w:vAlign w:val="center"/>
            <w:hideMark/>
          </w:tcPr>
          <w:p w14:paraId="04BFC042"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1595</w:t>
            </w:r>
          </w:p>
        </w:tc>
        <w:tc>
          <w:tcPr>
            <w:tcW w:w="990" w:type="dxa"/>
            <w:tcBorders>
              <w:top w:val="nil"/>
              <w:left w:val="nil"/>
              <w:bottom w:val="single" w:sz="4" w:space="0" w:color="auto"/>
              <w:right w:val="single" w:sz="4" w:space="0" w:color="auto"/>
            </w:tcBorders>
            <w:shd w:val="clear" w:color="auto" w:fill="auto"/>
            <w:noWrap/>
            <w:vAlign w:val="center"/>
            <w:hideMark/>
          </w:tcPr>
          <w:p w14:paraId="4B3F4F0F"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1709</w:t>
            </w:r>
          </w:p>
        </w:tc>
        <w:tc>
          <w:tcPr>
            <w:tcW w:w="1620" w:type="dxa"/>
            <w:tcBorders>
              <w:top w:val="nil"/>
              <w:left w:val="nil"/>
              <w:bottom w:val="single" w:sz="4" w:space="0" w:color="auto"/>
              <w:right w:val="single" w:sz="4" w:space="0" w:color="auto"/>
            </w:tcBorders>
            <w:shd w:val="clear" w:color="auto" w:fill="auto"/>
            <w:noWrap/>
            <w:vAlign w:val="center"/>
            <w:hideMark/>
          </w:tcPr>
          <w:p w14:paraId="56C8DD4C"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1849</w:t>
            </w:r>
          </w:p>
        </w:tc>
      </w:tr>
      <w:tr w:rsidR="001253B7" w:rsidRPr="00ED3932" w14:paraId="04CB8A11" w14:textId="77777777" w:rsidTr="006E2833">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14:paraId="5DF57A28" w14:textId="77777777" w:rsidR="001253B7" w:rsidRPr="00ED3932" w:rsidRDefault="001253B7" w:rsidP="000823BE">
            <w:pPr>
              <w:spacing w:after="0" w:line="240" w:lineRule="auto"/>
              <w:jc w:val="center"/>
              <w:rPr>
                <w:rFonts w:ascii="Calibri" w:eastAsia="Times New Roman" w:hAnsi="Calibri" w:cs="Times New Roman"/>
                <w:color w:val="000000"/>
              </w:rPr>
            </w:pPr>
          </w:p>
        </w:tc>
        <w:tc>
          <w:tcPr>
            <w:tcW w:w="974" w:type="dxa"/>
            <w:tcBorders>
              <w:top w:val="nil"/>
              <w:left w:val="nil"/>
              <w:bottom w:val="single" w:sz="4" w:space="0" w:color="auto"/>
              <w:right w:val="single" w:sz="4" w:space="0" w:color="auto"/>
            </w:tcBorders>
            <w:shd w:val="clear" w:color="auto" w:fill="auto"/>
            <w:noWrap/>
            <w:vAlign w:val="center"/>
            <w:hideMark/>
          </w:tcPr>
          <w:p w14:paraId="2D5C2713"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Pipeline</w:t>
            </w:r>
          </w:p>
        </w:tc>
        <w:tc>
          <w:tcPr>
            <w:tcW w:w="716" w:type="dxa"/>
            <w:tcBorders>
              <w:top w:val="nil"/>
              <w:left w:val="nil"/>
              <w:bottom w:val="single" w:sz="4" w:space="0" w:color="auto"/>
              <w:right w:val="single" w:sz="4" w:space="0" w:color="auto"/>
            </w:tcBorders>
            <w:shd w:val="clear" w:color="auto" w:fill="auto"/>
            <w:noWrap/>
            <w:vAlign w:val="center"/>
            <w:hideMark/>
          </w:tcPr>
          <w:p w14:paraId="4353D5E0"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706</w:t>
            </w:r>
          </w:p>
        </w:tc>
        <w:tc>
          <w:tcPr>
            <w:tcW w:w="876" w:type="dxa"/>
            <w:tcBorders>
              <w:top w:val="nil"/>
              <w:left w:val="nil"/>
              <w:bottom w:val="single" w:sz="4" w:space="0" w:color="auto"/>
              <w:right w:val="single" w:sz="4" w:space="0" w:color="auto"/>
            </w:tcBorders>
            <w:shd w:val="clear" w:color="auto" w:fill="auto"/>
            <w:noWrap/>
            <w:vAlign w:val="center"/>
            <w:hideMark/>
          </w:tcPr>
          <w:p w14:paraId="0240C147"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876</w:t>
            </w:r>
          </w:p>
        </w:tc>
        <w:tc>
          <w:tcPr>
            <w:tcW w:w="990" w:type="dxa"/>
            <w:tcBorders>
              <w:top w:val="nil"/>
              <w:left w:val="nil"/>
              <w:bottom w:val="single" w:sz="4" w:space="0" w:color="auto"/>
              <w:right w:val="single" w:sz="4" w:space="0" w:color="auto"/>
            </w:tcBorders>
            <w:shd w:val="clear" w:color="auto" w:fill="auto"/>
            <w:noWrap/>
            <w:vAlign w:val="center"/>
            <w:hideMark/>
          </w:tcPr>
          <w:p w14:paraId="09437E8A"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893</w:t>
            </w:r>
          </w:p>
        </w:tc>
        <w:tc>
          <w:tcPr>
            <w:tcW w:w="1620" w:type="dxa"/>
            <w:tcBorders>
              <w:top w:val="nil"/>
              <w:left w:val="nil"/>
              <w:bottom w:val="single" w:sz="4" w:space="0" w:color="auto"/>
              <w:right w:val="single" w:sz="4" w:space="0" w:color="auto"/>
            </w:tcBorders>
            <w:shd w:val="clear" w:color="auto" w:fill="auto"/>
            <w:noWrap/>
            <w:vAlign w:val="center"/>
            <w:hideMark/>
          </w:tcPr>
          <w:p w14:paraId="7D5A1B05"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914</w:t>
            </w:r>
          </w:p>
        </w:tc>
      </w:tr>
      <w:tr w:rsidR="001253B7" w:rsidRPr="00ED3932" w14:paraId="18C5E160" w14:textId="77777777" w:rsidTr="006E2833">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14:paraId="0F7C7117" w14:textId="77777777" w:rsidR="001253B7" w:rsidRPr="00ED3932" w:rsidRDefault="001253B7" w:rsidP="000823BE">
            <w:pPr>
              <w:spacing w:after="0" w:line="240" w:lineRule="auto"/>
              <w:jc w:val="center"/>
              <w:rPr>
                <w:rFonts w:ascii="Calibri" w:eastAsia="Times New Roman" w:hAnsi="Calibri" w:cs="Times New Roman"/>
                <w:color w:val="000000"/>
              </w:rPr>
            </w:pPr>
          </w:p>
        </w:tc>
        <w:tc>
          <w:tcPr>
            <w:tcW w:w="974" w:type="dxa"/>
            <w:tcBorders>
              <w:top w:val="nil"/>
              <w:left w:val="nil"/>
              <w:bottom w:val="single" w:sz="4" w:space="0" w:color="auto"/>
              <w:right w:val="single" w:sz="4" w:space="0" w:color="auto"/>
            </w:tcBorders>
            <w:shd w:val="clear" w:color="auto" w:fill="auto"/>
            <w:noWrap/>
            <w:vAlign w:val="center"/>
            <w:hideMark/>
          </w:tcPr>
          <w:p w14:paraId="340B3AB3"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LNG</w:t>
            </w:r>
          </w:p>
        </w:tc>
        <w:tc>
          <w:tcPr>
            <w:tcW w:w="716" w:type="dxa"/>
            <w:tcBorders>
              <w:top w:val="nil"/>
              <w:left w:val="nil"/>
              <w:bottom w:val="single" w:sz="4" w:space="0" w:color="auto"/>
              <w:right w:val="single" w:sz="4" w:space="0" w:color="auto"/>
            </w:tcBorders>
            <w:shd w:val="clear" w:color="auto" w:fill="auto"/>
            <w:noWrap/>
            <w:vAlign w:val="center"/>
            <w:hideMark/>
          </w:tcPr>
          <w:p w14:paraId="2DD7B979"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388</w:t>
            </w:r>
          </w:p>
        </w:tc>
        <w:tc>
          <w:tcPr>
            <w:tcW w:w="876" w:type="dxa"/>
            <w:tcBorders>
              <w:top w:val="nil"/>
              <w:left w:val="nil"/>
              <w:bottom w:val="single" w:sz="4" w:space="0" w:color="auto"/>
              <w:right w:val="single" w:sz="4" w:space="0" w:color="auto"/>
            </w:tcBorders>
            <w:shd w:val="clear" w:color="auto" w:fill="auto"/>
            <w:noWrap/>
            <w:vAlign w:val="center"/>
            <w:hideMark/>
          </w:tcPr>
          <w:p w14:paraId="47F325A2"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719</w:t>
            </w:r>
          </w:p>
        </w:tc>
        <w:tc>
          <w:tcPr>
            <w:tcW w:w="990" w:type="dxa"/>
            <w:tcBorders>
              <w:top w:val="nil"/>
              <w:left w:val="nil"/>
              <w:bottom w:val="single" w:sz="4" w:space="0" w:color="auto"/>
              <w:right w:val="single" w:sz="4" w:space="0" w:color="auto"/>
            </w:tcBorders>
            <w:shd w:val="clear" w:color="auto" w:fill="auto"/>
            <w:noWrap/>
            <w:vAlign w:val="center"/>
            <w:hideMark/>
          </w:tcPr>
          <w:p w14:paraId="55F7870D"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817</w:t>
            </w:r>
          </w:p>
        </w:tc>
        <w:tc>
          <w:tcPr>
            <w:tcW w:w="1620" w:type="dxa"/>
            <w:tcBorders>
              <w:top w:val="nil"/>
              <w:left w:val="nil"/>
              <w:bottom w:val="single" w:sz="4" w:space="0" w:color="auto"/>
              <w:right w:val="single" w:sz="4" w:space="0" w:color="auto"/>
            </w:tcBorders>
            <w:shd w:val="clear" w:color="auto" w:fill="auto"/>
            <w:noWrap/>
            <w:vAlign w:val="center"/>
            <w:hideMark/>
          </w:tcPr>
          <w:p w14:paraId="1404D757"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936</w:t>
            </w:r>
          </w:p>
        </w:tc>
      </w:tr>
      <w:tr w:rsidR="001253B7" w:rsidRPr="00ED3932" w14:paraId="3991FBF7" w14:textId="77777777" w:rsidTr="006E2833">
        <w:trPr>
          <w:trHeight w:val="47"/>
          <w:jc w:val="center"/>
        </w:trPr>
        <w:tc>
          <w:tcPr>
            <w:tcW w:w="13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63DF43"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lastRenderedPageBreak/>
              <w:t>Europe</w:t>
            </w:r>
          </w:p>
        </w:tc>
        <w:tc>
          <w:tcPr>
            <w:tcW w:w="974" w:type="dxa"/>
            <w:tcBorders>
              <w:top w:val="nil"/>
              <w:left w:val="nil"/>
              <w:bottom w:val="single" w:sz="4" w:space="0" w:color="auto"/>
              <w:right w:val="single" w:sz="4" w:space="0" w:color="auto"/>
            </w:tcBorders>
            <w:shd w:val="clear" w:color="auto" w:fill="auto"/>
            <w:noWrap/>
            <w:vAlign w:val="center"/>
            <w:hideMark/>
          </w:tcPr>
          <w:p w14:paraId="647900CD"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Demand</w:t>
            </w:r>
          </w:p>
        </w:tc>
        <w:tc>
          <w:tcPr>
            <w:tcW w:w="716" w:type="dxa"/>
            <w:tcBorders>
              <w:top w:val="nil"/>
              <w:left w:val="nil"/>
              <w:bottom w:val="single" w:sz="4" w:space="0" w:color="auto"/>
              <w:right w:val="single" w:sz="4" w:space="0" w:color="auto"/>
            </w:tcBorders>
            <w:shd w:val="clear" w:color="auto" w:fill="auto"/>
            <w:noWrap/>
            <w:vAlign w:val="center"/>
            <w:hideMark/>
          </w:tcPr>
          <w:p w14:paraId="1120B53B"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538</w:t>
            </w:r>
          </w:p>
        </w:tc>
        <w:tc>
          <w:tcPr>
            <w:tcW w:w="876" w:type="dxa"/>
            <w:tcBorders>
              <w:top w:val="nil"/>
              <w:left w:val="nil"/>
              <w:bottom w:val="single" w:sz="4" w:space="0" w:color="auto"/>
              <w:right w:val="single" w:sz="4" w:space="0" w:color="auto"/>
            </w:tcBorders>
            <w:shd w:val="clear" w:color="auto" w:fill="auto"/>
            <w:noWrap/>
            <w:vAlign w:val="center"/>
            <w:hideMark/>
          </w:tcPr>
          <w:p w14:paraId="2ED55C78"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573</w:t>
            </w:r>
          </w:p>
        </w:tc>
        <w:tc>
          <w:tcPr>
            <w:tcW w:w="990" w:type="dxa"/>
            <w:tcBorders>
              <w:top w:val="nil"/>
              <w:left w:val="nil"/>
              <w:bottom w:val="single" w:sz="4" w:space="0" w:color="auto"/>
              <w:right w:val="single" w:sz="4" w:space="0" w:color="auto"/>
            </w:tcBorders>
            <w:shd w:val="clear" w:color="auto" w:fill="auto"/>
            <w:noWrap/>
            <w:vAlign w:val="center"/>
            <w:hideMark/>
          </w:tcPr>
          <w:p w14:paraId="4A493EBC"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609</w:t>
            </w:r>
          </w:p>
        </w:tc>
        <w:tc>
          <w:tcPr>
            <w:tcW w:w="1620" w:type="dxa"/>
            <w:tcBorders>
              <w:top w:val="nil"/>
              <w:left w:val="nil"/>
              <w:bottom w:val="single" w:sz="4" w:space="0" w:color="auto"/>
              <w:right w:val="single" w:sz="4" w:space="0" w:color="auto"/>
            </w:tcBorders>
            <w:shd w:val="clear" w:color="auto" w:fill="auto"/>
            <w:noWrap/>
            <w:vAlign w:val="center"/>
            <w:hideMark/>
          </w:tcPr>
          <w:p w14:paraId="76F895A6"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615</w:t>
            </w:r>
          </w:p>
        </w:tc>
      </w:tr>
      <w:tr w:rsidR="001253B7" w:rsidRPr="00ED3932" w14:paraId="7CEE2EE9" w14:textId="77777777" w:rsidTr="006E2833">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14:paraId="307BF38B" w14:textId="77777777" w:rsidR="001253B7" w:rsidRPr="00ED3932" w:rsidRDefault="001253B7" w:rsidP="000823BE">
            <w:pPr>
              <w:spacing w:after="0" w:line="240" w:lineRule="auto"/>
              <w:jc w:val="center"/>
              <w:rPr>
                <w:rFonts w:ascii="Calibri" w:eastAsia="Times New Roman" w:hAnsi="Calibri" w:cs="Times New Roman"/>
                <w:color w:val="000000"/>
              </w:rPr>
            </w:pPr>
          </w:p>
        </w:tc>
        <w:tc>
          <w:tcPr>
            <w:tcW w:w="974" w:type="dxa"/>
            <w:tcBorders>
              <w:top w:val="nil"/>
              <w:left w:val="nil"/>
              <w:bottom w:val="single" w:sz="4" w:space="0" w:color="auto"/>
              <w:right w:val="single" w:sz="4" w:space="0" w:color="auto"/>
            </w:tcBorders>
            <w:shd w:val="clear" w:color="auto" w:fill="auto"/>
            <w:noWrap/>
            <w:vAlign w:val="center"/>
            <w:hideMark/>
          </w:tcPr>
          <w:p w14:paraId="1E3AF9E8"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Imports</w:t>
            </w:r>
          </w:p>
        </w:tc>
        <w:tc>
          <w:tcPr>
            <w:tcW w:w="716" w:type="dxa"/>
            <w:tcBorders>
              <w:top w:val="nil"/>
              <w:left w:val="nil"/>
              <w:bottom w:val="single" w:sz="4" w:space="0" w:color="auto"/>
              <w:right w:val="single" w:sz="4" w:space="0" w:color="auto"/>
            </w:tcBorders>
            <w:shd w:val="clear" w:color="auto" w:fill="auto"/>
            <w:noWrap/>
            <w:vAlign w:val="center"/>
            <w:hideMark/>
          </w:tcPr>
          <w:p w14:paraId="57920E06"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499</w:t>
            </w:r>
          </w:p>
        </w:tc>
        <w:tc>
          <w:tcPr>
            <w:tcW w:w="876" w:type="dxa"/>
            <w:tcBorders>
              <w:top w:val="nil"/>
              <w:left w:val="nil"/>
              <w:bottom w:val="single" w:sz="4" w:space="0" w:color="auto"/>
              <w:right w:val="single" w:sz="4" w:space="0" w:color="auto"/>
            </w:tcBorders>
            <w:shd w:val="clear" w:color="auto" w:fill="auto"/>
            <w:noWrap/>
            <w:vAlign w:val="center"/>
            <w:hideMark/>
          </w:tcPr>
          <w:p w14:paraId="1930E6BB"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502</w:t>
            </w:r>
          </w:p>
        </w:tc>
        <w:tc>
          <w:tcPr>
            <w:tcW w:w="990" w:type="dxa"/>
            <w:tcBorders>
              <w:top w:val="nil"/>
              <w:left w:val="nil"/>
              <w:bottom w:val="single" w:sz="4" w:space="0" w:color="auto"/>
              <w:right w:val="single" w:sz="4" w:space="0" w:color="auto"/>
            </w:tcBorders>
            <w:shd w:val="clear" w:color="auto" w:fill="auto"/>
            <w:noWrap/>
            <w:vAlign w:val="center"/>
            <w:hideMark/>
          </w:tcPr>
          <w:p w14:paraId="041052A7"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538</w:t>
            </w:r>
          </w:p>
        </w:tc>
        <w:tc>
          <w:tcPr>
            <w:tcW w:w="1620" w:type="dxa"/>
            <w:tcBorders>
              <w:top w:val="nil"/>
              <w:left w:val="nil"/>
              <w:bottom w:val="single" w:sz="4" w:space="0" w:color="auto"/>
              <w:right w:val="single" w:sz="4" w:space="0" w:color="auto"/>
            </w:tcBorders>
            <w:shd w:val="clear" w:color="auto" w:fill="auto"/>
            <w:noWrap/>
            <w:vAlign w:val="center"/>
            <w:hideMark/>
          </w:tcPr>
          <w:p w14:paraId="013F856C"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544</w:t>
            </w:r>
          </w:p>
        </w:tc>
      </w:tr>
      <w:tr w:rsidR="001253B7" w:rsidRPr="00ED3932" w14:paraId="660899D9" w14:textId="77777777" w:rsidTr="006E2833">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14:paraId="588AA711" w14:textId="77777777" w:rsidR="001253B7" w:rsidRPr="00ED3932" w:rsidRDefault="001253B7" w:rsidP="000823BE">
            <w:pPr>
              <w:spacing w:after="0" w:line="240" w:lineRule="auto"/>
              <w:jc w:val="center"/>
              <w:rPr>
                <w:rFonts w:ascii="Calibri" w:eastAsia="Times New Roman" w:hAnsi="Calibri" w:cs="Times New Roman"/>
                <w:color w:val="000000"/>
              </w:rPr>
            </w:pPr>
          </w:p>
        </w:tc>
        <w:tc>
          <w:tcPr>
            <w:tcW w:w="974" w:type="dxa"/>
            <w:tcBorders>
              <w:top w:val="nil"/>
              <w:left w:val="nil"/>
              <w:bottom w:val="single" w:sz="4" w:space="0" w:color="auto"/>
              <w:right w:val="single" w:sz="4" w:space="0" w:color="auto"/>
            </w:tcBorders>
            <w:shd w:val="clear" w:color="auto" w:fill="auto"/>
            <w:noWrap/>
            <w:vAlign w:val="center"/>
            <w:hideMark/>
          </w:tcPr>
          <w:p w14:paraId="5A38174F"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Pipeline</w:t>
            </w:r>
          </w:p>
        </w:tc>
        <w:tc>
          <w:tcPr>
            <w:tcW w:w="716" w:type="dxa"/>
            <w:tcBorders>
              <w:top w:val="nil"/>
              <w:left w:val="nil"/>
              <w:bottom w:val="single" w:sz="4" w:space="0" w:color="auto"/>
              <w:right w:val="single" w:sz="4" w:space="0" w:color="auto"/>
            </w:tcBorders>
            <w:shd w:val="clear" w:color="auto" w:fill="auto"/>
            <w:noWrap/>
            <w:vAlign w:val="center"/>
            <w:hideMark/>
          </w:tcPr>
          <w:p w14:paraId="34E30D43"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436</w:t>
            </w:r>
          </w:p>
        </w:tc>
        <w:tc>
          <w:tcPr>
            <w:tcW w:w="876" w:type="dxa"/>
            <w:tcBorders>
              <w:top w:val="nil"/>
              <w:left w:val="nil"/>
              <w:bottom w:val="single" w:sz="4" w:space="0" w:color="auto"/>
              <w:right w:val="single" w:sz="4" w:space="0" w:color="auto"/>
            </w:tcBorders>
            <w:shd w:val="clear" w:color="auto" w:fill="auto"/>
            <w:noWrap/>
            <w:vAlign w:val="center"/>
            <w:hideMark/>
          </w:tcPr>
          <w:p w14:paraId="05809BD6"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383</w:t>
            </w:r>
          </w:p>
        </w:tc>
        <w:tc>
          <w:tcPr>
            <w:tcW w:w="990" w:type="dxa"/>
            <w:tcBorders>
              <w:top w:val="nil"/>
              <w:left w:val="nil"/>
              <w:bottom w:val="single" w:sz="4" w:space="0" w:color="auto"/>
              <w:right w:val="single" w:sz="4" w:space="0" w:color="auto"/>
            </w:tcBorders>
            <w:shd w:val="clear" w:color="auto" w:fill="auto"/>
            <w:noWrap/>
            <w:vAlign w:val="center"/>
            <w:hideMark/>
          </w:tcPr>
          <w:p w14:paraId="31E701B6"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376</w:t>
            </w:r>
          </w:p>
        </w:tc>
        <w:tc>
          <w:tcPr>
            <w:tcW w:w="1620" w:type="dxa"/>
            <w:tcBorders>
              <w:top w:val="nil"/>
              <w:left w:val="nil"/>
              <w:bottom w:val="single" w:sz="4" w:space="0" w:color="auto"/>
              <w:right w:val="single" w:sz="4" w:space="0" w:color="auto"/>
            </w:tcBorders>
            <w:shd w:val="clear" w:color="auto" w:fill="auto"/>
            <w:noWrap/>
            <w:vAlign w:val="center"/>
            <w:hideMark/>
          </w:tcPr>
          <w:p w14:paraId="063979F7"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381</w:t>
            </w:r>
          </w:p>
        </w:tc>
      </w:tr>
      <w:tr w:rsidR="001253B7" w:rsidRPr="00ED3932" w14:paraId="274A2A98" w14:textId="77777777" w:rsidTr="006E2833">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14:paraId="7302FE9C" w14:textId="77777777" w:rsidR="001253B7" w:rsidRPr="00ED3932" w:rsidRDefault="001253B7" w:rsidP="000823BE">
            <w:pPr>
              <w:spacing w:after="0" w:line="240" w:lineRule="auto"/>
              <w:jc w:val="center"/>
              <w:rPr>
                <w:rFonts w:ascii="Calibri" w:eastAsia="Times New Roman" w:hAnsi="Calibri" w:cs="Times New Roman"/>
                <w:color w:val="000000"/>
              </w:rPr>
            </w:pPr>
          </w:p>
        </w:tc>
        <w:tc>
          <w:tcPr>
            <w:tcW w:w="974" w:type="dxa"/>
            <w:tcBorders>
              <w:top w:val="nil"/>
              <w:left w:val="nil"/>
              <w:bottom w:val="single" w:sz="4" w:space="0" w:color="auto"/>
              <w:right w:val="single" w:sz="4" w:space="0" w:color="auto"/>
            </w:tcBorders>
            <w:shd w:val="clear" w:color="auto" w:fill="auto"/>
            <w:noWrap/>
            <w:vAlign w:val="center"/>
            <w:hideMark/>
          </w:tcPr>
          <w:p w14:paraId="54EE8C46"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LNG</w:t>
            </w:r>
          </w:p>
        </w:tc>
        <w:tc>
          <w:tcPr>
            <w:tcW w:w="716" w:type="dxa"/>
            <w:tcBorders>
              <w:top w:val="nil"/>
              <w:left w:val="nil"/>
              <w:bottom w:val="single" w:sz="4" w:space="0" w:color="auto"/>
              <w:right w:val="single" w:sz="4" w:space="0" w:color="auto"/>
            </w:tcBorders>
            <w:shd w:val="clear" w:color="auto" w:fill="auto"/>
            <w:noWrap/>
            <w:vAlign w:val="center"/>
            <w:hideMark/>
          </w:tcPr>
          <w:p w14:paraId="5E883EF5"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63</w:t>
            </w:r>
          </w:p>
        </w:tc>
        <w:tc>
          <w:tcPr>
            <w:tcW w:w="876" w:type="dxa"/>
            <w:tcBorders>
              <w:top w:val="nil"/>
              <w:left w:val="nil"/>
              <w:bottom w:val="single" w:sz="4" w:space="0" w:color="auto"/>
              <w:right w:val="single" w:sz="4" w:space="0" w:color="auto"/>
            </w:tcBorders>
            <w:shd w:val="clear" w:color="auto" w:fill="auto"/>
            <w:noWrap/>
            <w:vAlign w:val="center"/>
            <w:hideMark/>
          </w:tcPr>
          <w:p w14:paraId="2BE41B91"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119</w:t>
            </w:r>
          </w:p>
        </w:tc>
        <w:tc>
          <w:tcPr>
            <w:tcW w:w="990" w:type="dxa"/>
            <w:tcBorders>
              <w:top w:val="nil"/>
              <w:left w:val="nil"/>
              <w:bottom w:val="single" w:sz="4" w:space="0" w:color="auto"/>
              <w:right w:val="single" w:sz="4" w:space="0" w:color="auto"/>
            </w:tcBorders>
            <w:shd w:val="clear" w:color="auto" w:fill="auto"/>
            <w:noWrap/>
            <w:vAlign w:val="center"/>
            <w:hideMark/>
          </w:tcPr>
          <w:p w14:paraId="690245FE"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161</w:t>
            </w:r>
          </w:p>
        </w:tc>
        <w:tc>
          <w:tcPr>
            <w:tcW w:w="1620" w:type="dxa"/>
            <w:tcBorders>
              <w:top w:val="nil"/>
              <w:left w:val="nil"/>
              <w:bottom w:val="single" w:sz="4" w:space="0" w:color="auto"/>
              <w:right w:val="single" w:sz="4" w:space="0" w:color="auto"/>
            </w:tcBorders>
            <w:shd w:val="clear" w:color="auto" w:fill="auto"/>
            <w:noWrap/>
            <w:vAlign w:val="center"/>
            <w:hideMark/>
          </w:tcPr>
          <w:p w14:paraId="17440395"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163</w:t>
            </w:r>
          </w:p>
        </w:tc>
      </w:tr>
      <w:tr w:rsidR="001253B7" w:rsidRPr="00ED3932" w14:paraId="7CC298D0" w14:textId="77777777" w:rsidTr="006E2833">
        <w:trPr>
          <w:trHeight w:val="47"/>
          <w:jc w:val="center"/>
        </w:trPr>
        <w:tc>
          <w:tcPr>
            <w:tcW w:w="13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50DD49"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Asia</w:t>
            </w:r>
          </w:p>
        </w:tc>
        <w:tc>
          <w:tcPr>
            <w:tcW w:w="974" w:type="dxa"/>
            <w:tcBorders>
              <w:top w:val="nil"/>
              <w:left w:val="nil"/>
              <w:bottom w:val="single" w:sz="4" w:space="0" w:color="auto"/>
              <w:right w:val="single" w:sz="4" w:space="0" w:color="auto"/>
            </w:tcBorders>
            <w:shd w:val="clear" w:color="auto" w:fill="auto"/>
            <w:noWrap/>
            <w:vAlign w:val="center"/>
            <w:hideMark/>
          </w:tcPr>
          <w:p w14:paraId="30463215"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Demand</w:t>
            </w:r>
          </w:p>
        </w:tc>
        <w:tc>
          <w:tcPr>
            <w:tcW w:w="716" w:type="dxa"/>
            <w:tcBorders>
              <w:top w:val="nil"/>
              <w:left w:val="nil"/>
              <w:bottom w:val="single" w:sz="4" w:space="0" w:color="auto"/>
              <w:right w:val="single" w:sz="4" w:space="0" w:color="auto"/>
            </w:tcBorders>
            <w:shd w:val="clear" w:color="auto" w:fill="auto"/>
            <w:noWrap/>
            <w:vAlign w:val="center"/>
            <w:hideMark/>
          </w:tcPr>
          <w:p w14:paraId="0FFC0D13"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794</w:t>
            </w:r>
          </w:p>
        </w:tc>
        <w:tc>
          <w:tcPr>
            <w:tcW w:w="876" w:type="dxa"/>
            <w:tcBorders>
              <w:top w:val="nil"/>
              <w:left w:val="nil"/>
              <w:bottom w:val="single" w:sz="4" w:space="0" w:color="auto"/>
              <w:right w:val="single" w:sz="4" w:space="0" w:color="auto"/>
            </w:tcBorders>
            <w:shd w:val="clear" w:color="auto" w:fill="auto"/>
            <w:noWrap/>
            <w:vAlign w:val="center"/>
            <w:hideMark/>
          </w:tcPr>
          <w:p w14:paraId="538E4347"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1422</w:t>
            </w:r>
          </w:p>
        </w:tc>
        <w:tc>
          <w:tcPr>
            <w:tcW w:w="990" w:type="dxa"/>
            <w:tcBorders>
              <w:top w:val="nil"/>
              <w:left w:val="nil"/>
              <w:bottom w:val="single" w:sz="4" w:space="0" w:color="auto"/>
              <w:right w:val="single" w:sz="4" w:space="0" w:color="auto"/>
            </w:tcBorders>
            <w:shd w:val="clear" w:color="auto" w:fill="auto"/>
            <w:noWrap/>
            <w:vAlign w:val="center"/>
            <w:hideMark/>
          </w:tcPr>
          <w:p w14:paraId="13B7EF89"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1541</w:t>
            </w:r>
          </w:p>
        </w:tc>
        <w:tc>
          <w:tcPr>
            <w:tcW w:w="1620" w:type="dxa"/>
            <w:tcBorders>
              <w:top w:val="nil"/>
              <w:left w:val="nil"/>
              <w:bottom w:val="single" w:sz="4" w:space="0" w:color="auto"/>
              <w:right w:val="single" w:sz="4" w:space="0" w:color="auto"/>
            </w:tcBorders>
            <w:shd w:val="clear" w:color="auto" w:fill="auto"/>
            <w:noWrap/>
            <w:vAlign w:val="center"/>
            <w:hideMark/>
          </w:tcPr>
          <w:p w14:paraId="126D0E19"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1761</w:t>
            </w:r>
          </w:p>
        </w:tc>
      </w:tr>
      <w:tr w:rsidR="001253B7" w:rsidRPr="00ED3932" w14:paraId="3539595B" w14:textId="77777777" w:rsidTr="006E2833">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14:paraId="506D6B8F" w14:textId="77777777" w:rsidR="001253B7" w:rsidRPr="00ED3932" w:rsidRDefault="001253B7" w:rsidP="000823BE">
            <w:pPr>
              <w:spacing w:after="0" w:line="240" w:lineRule="auto"/>
              <w:jc w:val="center"/>
              <w:rPr>
                <w:rFonts w:ascii="Calibri" w:eastAsia="Times New Roman" w:hAnsi="Calibri" w:cs="Times New Roman"/>
                <w:color w:val="000000"/>
              </w:rPr>
            </w:pPr>
          </w:p>
        </w:tc>
        <w:tc>
          <w:tcPr>
            <w:tcW w:w="974" w:type="dxa"/>
            <w:tcBorders>
              <w:top w:val="nil"/>
              <w:left w:val="nil"/>
              <w:bottom w:val="single" w:sz="4" w:space="0" w:color="auto"/>
              <w:right w:val="single" w:sz="4" w:space="0" w:color="auto"/>
            </w:tcBorders>
            <w:shd w:val="clear" w:color="auto" w:fill="auto"/>
            <w:noWrap/>
            <w:vAlign w:val="center"/>
            <w:hideMark/>
          </w:tcPr>
          <w:p w14:paraId="10C41A81"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Imports</w:t>
            </w:r>
          </w:p>
        </w:tc>
        <w:tc>
          <w:tcPr>
            <w:tcW w:w="716" w:type="dxa"/>
            <w:tcBorders>
              <w:top w:val="nil"/>
              <w:left w:val="nil"/>
              <w:bottom w:val="single" w:sz="4" w:space="0" w:color="auto"/>
              <w:right w:val="single" w:sz="4" w:space="0" w:color="auto"/>
            </w:tcBorders>
            <w:shd w:val="clear" w:color="auto" w:fill="auto"/>
            <w:noWrap/>
            <w:vAlign w:val="center"/>
            <w:hideMark/>
          </w:tcPr>
          <w:p w14:paraId="4E397A43"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369</w:t>
            </w:r>
          </w:p>
        </w:tc>
        <w:tc>
          <w:tcPr>
            <w:tcW w:w="876" w:type="dxa"/>
            <w:tcBorders>
              <w:top w:val="nil"/>
              <w:left w:val="nil"/>
              <w:bottom w:val="single" w:sz="4" w:space="0" w:color="auto"/>
              <w:right w:val="single" w:sz="4" w:space="0" w:color="auto"/>
            </w:tcBorders>
            <w:shd w:val="clear" w:color="auto" w:fill="auto"/>
            <w:noWrap/>
            <w:vAlign w:val="center"/>
            <w:hideMark/>
          </w:tcPr>
          <w:p w14:paraId="0E144D69"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756</w:t>
            </w:r>
          </w:p>
        </w:tc>
        <w:tc>
          <w:tcPr>
            <w:tcW w:w="990" w:type="dxa"/>
            <w:tcBorders>
              <w:top w:val="nil"/>
              <w:left w:val="nil"/>
              <w:bottom w:val="single" w:sz="4" w:space="0" w:color="auto"/>
              <w:right w:val="single" w:sz="4" w:space="0" w:color="auto"/>
            </w:tcBorders>
            <w:shd w:val="clear" w:color="auto" w:fill="auto"/>
            <w:noWrap/>
            <w:vAlign w:val="center"/>
            <w:hideMark/>
          </w:tcPr>
          <w:p w14:paraId="3BEA6C4B"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847</w:t>
            </w:r>
          </w:p>
        </w:tc>
        <w:tc>
          <w:tcPr>
            <w:tcW w:w="1620" w:type="dxa"/>
            <w:tcBorders>
              <w:top w:val="nil"/>
              <w:left w:val="nil"/>
              <w:bottom w:val="single" w:sz="4" w:space="0" w:color="auto"/>
              <w:right w:val="single" w:sz="4" w:space="0" w:color="auto"/>
            </w:tcBorders>
            <w:shd w:val="clear" w:color="auto" w:fill="auto"/>
            <w:noWrap/>
            <w:vAlign w:val="center"/>
            <w:hideMark/>
          </w:tcPr>
          <w:p w14:paraId="2B494719"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969</w:t>
            </w:r>
          </w:p>
        </w:tc>
      </w:tr>
      <w:tr w:rsidR="001253B7" w:rsidRPr="00ED3932" w14:paraId="5B2545CF" w14:textId="77777777" w:rsidTr="006E2833">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14:paraId="7425D8A3" w14:textId="77777777" w:rsidR="001253B7" w:rsidRPr="00ED3932" w:rsidRDefault="001253B7" w:rsidP="000823BE">
            <w:pPr>
              <w:spacing w:after="0" w:line="240" w:lineRule="auto"/>
              <w:jc w:val="center"/>
              <w:rPr>
                <w:rFonts w:ascii="Calibri" w:eastAsia="Times New Roman" w:hAnsi="Calibri" w:cs="Times New Roman"/>
                <w:color w:val="000000"/>
              </w:rPr>
            </w:pPr>
          </w:p>
        </w:tc>
        <w:tc>
          <w:tcPr>
            <w:tcW w:w="974" w:type="dxa"/>
            <w:tcBorders>
              <w:top w:val="nil"/>
              <w:left w:val="nil"/>
              <w:bottom w:val="single" w:sz="4" w:space="0" w:color="auto"/>
              <w:right w:val="single" w:sz="4" w:space="0" w:color="auto"/>
            </w:tcBorders>
            <w:shd w:val="clear" w:color="auto" w:fill="auto"/>
            <w:noWrap/>
            <w:vAlign w:val="center"/>
            <w:hideMark/>
          </w:tcPr>
          <w:p w14:paraId="6AF4EA96"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Pipeline</w:t>
            </w:r>
          </w:p>
        </w:tc>
        <w:tc>
          <w:tcPr>
            <w:tcW w:w="716" w:type="dxa"/>
            <w:tcBorders>
              <w:top w:val="nil"/>
              <w:left w:val="nil"/>
              <w:bottom w:val="single" w:sz="4" w:space="0" w:color="auto"/>
              <w:right w:val="single" w:sz="4" w:space="0" w:color="auto"/>
            </w:tcBorders>
            <w:shd w:val="clear" w:color="auto" w:fill="auto"/>
            <w:noWrap/>
            <w:vAlign w:val="center"/>
            <w:hideMark/>
          </w:tcPr>
          <w:p w14:paraId="50D8629E"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89</w:t>
            </w:r>
          </w:p>
        </w:tc>
        <w:tc>
          <w:tcPr>
            <w:tcW w:w="876" w:type="dxa"/>
            <w:tcBorders>
              <w:top w:val="nil"/>
              <w:left w:val="nil"/>
              <w:bottom w:val="single" w:sz="4" w:space="0" w:color="auto"/>
              <w:right w:val="single" w:sz="4" w:space="0" w:color="auto"/>
            </w:tcBorders>
            <w:shd w:val="clear" w:color="auto" w:fill="auto"/>
            <w:noWrap/>
            <w:vAlign w:val="center"/>
            <w:hideMark/>
          </w:tcPr>
          <w:p w14:paraId="184C376B"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205</w:t>
            </w:r>
          </w:p>
        </w:tc>
        <w:tc>
          <w:tcPr>
            <w:tcW w:w="990" w:type="dxa"/>
            <w:tcBorders>
              <w:top w:val="nil"/>
              <w:left w:val="nil"/>
              <w:bottom w:val="single" w:sz="4" w:space="0" w:color="auto"/>
              <w:right w:val="single" w:sz="4" w:space="0" w:color="auto"/>
            </w:tcBorders>
            <w:shd w:val="clear" w:color="auto" w:fill="auto"/>
            <w:noWrap/>
            <w:vAlign w:val="center"/>
            <w:hideMark/>
          </w:tcPr>
          <w:p w14:paraId="3EF6CC8D"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224</w:t>
            </w:r>
          </w:p>
        </w:tc>
        <w:tc>
          <w:tcPr>
            <w:tcW w:w="1620" w:type="dxa"/>
            <w:tcBorders>
              <w:top w:val="nil"/>
              <w:left w:val="nil"/>
              <w:bottom w:val="single" w:sz="4" w:space="0" w:color="auto"/>
              <w:right w:val="single" w:sz="4" w:space="0" w:color="auto"/>
            </w:tcBorders>
            <w:shd w:val="clear" w:color="auto" w:fill="auto"/>
            <w:noWrap/>
            <w:vAlign w:val="center"/>
            <w:hideMark/>
          </w:tcPr>
          <w:p w14:paraId="1D121E68"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345</w:t>
            </w:r>
          </w:p>
        </w:tc>
      </w:tr>
      <w:tr w:rsidR="001253B7" w:rsidRPr="00ED3932" w14:paraId="4200BDAD" w14:textId="77777777" w:rsidTr="006E2833">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14:paraId="3FF401B9" w14:textId="77777777" w:rsidR="001253B7" w:rsidRPr="00ED3932" w:rsidRDefault="001253B7" w:rsidP="000823BE">
            <w:pPr>
              <w:spacing w:after="0" w:line="240" w:lineRule="auto"/>
              <w:jc w:val="center"/>
              <w:rPr>
                <w:rFonts w:ascii="Calibri" w:eastAsia="Times New Roman" w:hAnsi="Calibri" w:cs="Times New Roman"/>
                <w:color w:val="000000"/>
              </w:rPr>
            </w:pPr>
          </w:p>
        </w:tc>
        <w:tc>
          <w:tcPr>
            <w:tcW w:w="974" w:type="dxa"/>
            <w:tcBorders>
              <w:top w:val="nil"/>
              <w:left w:val="nil"/>
              <w:bottom w:val="single" w:sz="4" w:space="0" w:color="auto"/>
              <w:right w:val="single" w:sz="4" w:space="0" w:color="auto"/>
            </w:tcBorders>
            <w:shd w:val="clear" w:color="auto" w:fill="auto"/>
            <w:noWrap/>
            <w:vAlign w:val="center"/>
            <w:hideMark/>
          </w:tcPr>
          <w:p w14:paraId="0EF2E2C9"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LNG</w:t>
            </w:r>
          </w:p>
        </w:tc>
        <w:tc>
          <w:tcPr>
            <w:tcW w:w="716" w:type="dxa"/>
            <w:tcBorders>
              <w:top w:val="nil"/>
              <w:left w:val="nil"/>
              <w:bottom w:val="single" w:sz="4" w:space="0" w:color="auto"/>
              <w:right w:val="single" w:sz="4" w:space="0" w:color="auto"/>
            </w:tcBorders>
            <w:shd w:val="clear" w:color="auto" w:fill="auto"/>
            <w:noWrap/>
            <w:vAlign w:val="center"/>
            <w:hideMark/>
          </w:tcPr>
          <w:p w14:paraId="16F304ED"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280</w:t>
            </w:r>
          </w:p>
        </w:tc>
        <w:tc>
          <w:tcPr>
            <w:tcW w:w="876" w:type="dxa"/>
            <w:tcBorders>
              <w:top w:val="nil"/>
              <w:left w:val="nil"/>
              <w:bottom w:val="single" w:sz="4" w:space="0" w:color="auto"/>
              <w:right w:val="single" w:sz="4" w:space="0" w:color="auto"/>
            </w:tcBorders>
            <w:shd w:val="clear" w:color="auto" w:fill="auto"/>
            <w:noWrap/>
            <w:vAlign w:val="center"/>
            <w:hideMark/>
          </w:tcPr>
          <w:p w14:paraId="0410ABA7"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551</w:t>
            </w:r>
          </w:p>
        </w:tc>
        <w:tc>
          <w:tcPr>
            <w:tcW w:w="990" w:type="dxa"/>
            <w:tcBorders>
              <w:top w:val="nil"/>
              <w:left w:val="nil"/>
              <w:bottom w:val="single" w:sz="4" w:space="0" w:color="auto"/>
              <w:right w:val="single" w:sz="4" w:space="0" w:color="auto"/>
            </w:tcBorders>
            <w:shd w:val="clear" w:color="auto" w:fill="auto"/>
            <w:noWrap/>
            <w:vAlign w:val="center"/>
            <w:hideMark/>
          </w:tcPr>
          <w:p w14:paraId="0E95D7F3"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624</w:t>
            </w:r>
          </w:p>
        </w:tc>
        <w:tc>
          <w:tcPr>
            <w:tcW w:w="1620" w:type="dxa"/>
            <w:tcBorders>
              <w:top w:val="nil"/>
              <w:left w:val="nil"/>
              <w:bottom w:val="single" w:sz="4" w:space="0" w:color="auto"/>
              <w:right w:val="single" w:sz="4" w:space="0" w:color="auto"/>
            </w:tcBorders>
            <w:shd w:val="clear" w:color="auto" w:fill="auto"/>
            <w:noWrap/>
            <w:vAlign w:val="center"/>
            <w:hideMark/>
          </w:tcPr>
          <w:p w14:paraId="258A342F"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624</w:t>
            </w:r>
          </w:p>
        </w:tc>
      </w:tr>
      <w:tr w:rsidR="001253B7" w:rsidRPr="00ED3932" w14:paraId="75D18C22" w14:textId="77777777" w:rsidTr="006E2833">
        <w:trPr>
          <w:trHeight w:val="47"/>
          <w:jc w:val="center"/>
        </w:trPr>
        <w:tc>
          <w:tcPr>
            <w:tcW w:w="13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795E14"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Latin America</w:t>
            </w:r>
          </w:p>
        </w:tc>
        <w:tc>
          <w:tcPr>
            <w:tcW w:w="974" w:type="dxa"/>
            <w:tcBorders>
              <w:top w:val="nil"/>
              <w:left w:val="nil"/>
              <w:bottom w:val="single" w:sz="4" w:space="0" w:color="auto"/>
              <w:right w:val="single" w:sz="4" w:space="0" w:color="auto"/>
            </w:tcBorders>
            <w:shd w:val="clear" w:color="auto" w:fill="auto"/>
            <w:noWrap/>
            <w:vAlign w:val="center"/>
            <w:hideMark/>
          </w:tcPr>
          <w:p w14:paraId="181B0301"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Demand</w:t>
            </w:r>
          </w:p>
        </w:tc>
        <w:tc>
          <w:tcPr>
            <w:tcW w:w="716" w:type="dxa"/>
            <w:tcBorders>
              <w:top w:val="nil"/>
              <w:left w:val="nil"/>
              <w:bottom w:val="single" w:sz="4" w:space="0" w:color="auto"/>
              <w:right w:val="single" w:sz="4" w:space="0" w:color="auto"/>
            </w:tcBorders>
            <w:shd w:val="clear" w:color="auto" w:fill="auto"/>
            <w:noWrap/>
            <w:vAlign w:val="center"/>
            <w:hideMark/>
          </w:tcPr>
          <w:p w14:paraId="5F4EF9C1"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178</w:t>
            </w:r>
          </w:p>
        </w:tc>
        <w:tc>
          <w:tcPr>
            <w:tcW w:w="876" w:type="dxa"/>
            <w:tcBorders>
              <w:top w:val="nil"/>
              <w:left w:val="nil"/>
              <w:bottom w:val="single" w:sz="4" w:space="0" w:color="auto"/>
              <w:right w:val="single" w:sz="4" w:space="0" w:color="auto"/>
            </w:tcBorders>
            <w:shd w:val="clear" w:color="auto" w:fill="auto"/>
            <w:noWrap/>
            <w:vAlign w:val="center"/>
            <w:hideMark/>
          </w:tcPr>
          <w:p w14:paraId="73D04A62"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291</w:t>
            </w:r>
          </w:p>
        </w:tc>
        <w:tc>
          <w:tcPr>
            <w:tcW w:w="990" w:type="dxa"/>
            <w:tcBorders>
              <w:top w:val="nil"/>
              <w:left w:val="nil"/>
              <w:bottom w:val="single" w:sz="4" w:space="0" w:color="auto"/>
              <w:right w:val="single" w:sz="4" w:space="0" w:color="auto"/>
            </w:tcBorders>
            <w:shd w:val="clear" w:color="auto" w:fill="auto"/>
            <w:noWrap/>
            <w:vAlign w:val="center"/>
            <w:hideMark/>
          </w:tcPr>
          <w:p w14:paraId="18C299AD"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309</w:t>
            </w:r>
          </w:p>
        </w:tc>
        <w:tc>
          <w:tcPr>
            <w:tcW w:w="1620" w:type="dxa"/>
            <w:tcBorders>
              <w:top w:val="nil"/>
              <w:left w:val="nil"/>
              <w:bottom w:val="single" w:sz="4" w:space="0" w:color="auto"/>
              <w:right w:val="single" w:sz="4" w:space="0" w:color="auto"/>
            </w:tcBorders>
            <w:shd w:val="clear" w:color="auto" w:fill="auto"/>
            <w:noWrap/>
            <w:vAlign w:val="center"/>
            <w:hideMark/>
          </w:tcPr>
          <w:p w14:paraId="7C8E2FED"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343</w:t>
            </w:r>
          </w:p>
        </w:tc>
      </w:tr>
      <w:tr w:rsidR="001253B7" w:rsidRPr="00ED3932" w14:paraId="3046A5A5" w14:textId="77777777" w:rsidTr="006E2833">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14:paraId="02F9EA11" w14:textId="77777777" w:rsidR="001253B7" w:rsidRPr="00ED3932" w:rsidRDefault="001253B7" w:rsidP="002714D1">
            <w:pPr>
              <w:spacing w:after="0" w:line="240" w:lineRule="auto"/>
              <w:rPr>
                <w:rFonts w:ascii="Times New Roman" w:eastAsia="Times New Roman" w:hAnsi="Times New Roman" w:cs="Times New Roman"/>
                <w:color w:val="000000"/>
                <w:sz w:val="16"/>
                <w:szCs w:val="20"/>
              </w:rPr>
            </w:pPr>
          </w:p>
        </w:tc>
        <w:tc>
          <w:tcPr>
            <w:tcW w:w="974" w:type="dxa"/>
            <w:tcBorders>
              <w:top w:val="nil"/>
              <w:left w:val="nil"/>
              <w:bottom w:val="single" w:sz="4" w:space="0" w:color="auto"/>
              <w:right w:val="single" w:sz="4" w:space="0" w:color="auto"/>
            </w:tcBorders>
            <w:shd w:val="clear" w:color="auto" w:fill="auto"/>
            <w:noWrap/>
            <w:vAlign w:val="center"/>
            <w:hideMark/>
          </w:tcPr>
          <w:p w14:paraId="48954F70"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Imports</w:t>
            </w:r>
          </w:p>
        </w:tc>
        <w:tc>
          <w:tcPr>
            <w:tcW w:w="716" w:type="dxa"/>
            <w:tcBorders>
              <w:top w:val="nil"/>
              <w:left w:val="nil"/>
              <w:bottom w:val="single" w:sz="4" w:space="0" w:color="auto"/>
              <w:right w:val="single" w:sz="4" w:space="0" w:color="auto"/>
            </w:tcBorders>
            <w:shd w:val="clear" w:color="auto" w:fill="auto"/>
            <w:noWrap/>
            <w:vAlign w:val="center"/>
            <w:hideMark/>
          </w:tcPr>
          <w:p w14:paraId="23155D8C"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29</w:t>
            </w:r>
          </w:p>
        </w:tc>
        <w:tc>
          <w:tcPr>
            <w:tcW w:w="876" w:type="dxa"/>
            <w:tcBorders>
              <w:top w:val="nil"/>
              <w:left w:val="nil"/>
              <w:bottom w:val="single" w:sz="4" w:space="0" w:color="auto"/>
              <w:right w:val="single" w:sz="4" w:space="0" w:color="auto"/>
            </w:tcBorders>
            <w:shd w:val="clear" w:color="auto" w:fill="auto"/>
            <w:noWrap/>
            <w:vAlign w:val="center"/>
            <w:hideMark/>
          </w:tcPr>
          <w:p w14:paraId="05B296E2"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48</w:t>
            </w:r>
          </w:p>
        </w:tc>
        <w:tc>
          <w:tcPr>
            <w:tcW w:w="990" w:type="dxa"/>
            <w:tcBorders>
              <w:top w:val="nil"/>
              <w:left w:val="nil"/>
              <w:bottom w:val="single" w:sz="4" w:space="0" w:color="auto"/>
              <w:right w:val="single" w:sz="4" w:space="0" w:color="auto"/>
            </w:tcBorders>
            <w:shd w:val="clear" w:color="auto" w:fill="auto"/>
            <w:noWrap/>
            <w:vAlign w:val="center"/>
            <w:hideMark/>
          </w:tcPr>
          <w:p w14:paraId="2F531978"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62</w:t>
            </w:r>
          </w:p>
        </w:tc>
        <w:tc>
          <w:tcPr>
            <w:tcW w:w="1620" w:type="dxa"/>
            <w:tcBorders>
              <w:top w:val="nil"/>
              <w:left w:val="nil"/>
              <w:bottom w:val="single" w:sz="4" w:space="0" w:color="auto"/>
              <w:right w:val="single" w:sz="4" w:space="0" w:color="auto"/>
            </w:tcBorders>
            <w:shd w:val="clear" w:color="auto" w:fill="auto"/>
            <w:noWrap/>
            <w:vAlign w:val="center"/>
            <w:hideMark/>
          </w:tcPr>
          <w:p w14:paraId="2204E15E"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69</w:t>
            </w:r>
          </w:p>
        </w:tc>
      </w:tr>
      <w:tr w:rsidR="001253B7" w:rsidRPr="00ED3932" w14:paraId="669E3EB2" w14:textId="77777777" w:rsidTr="006E2833">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14:paraId="214D8442" w14:textId="77777777" w:rsidR="001253B7" w:rsidRPr="00ED3932" w:rsidRDefault="001253B7" w:rsidP="002714D1">
            <w:pPr>
              <w:spacing w:after="0" w:line="240" w:lineRule="auto"/>
              <w:rPr>
                <w:rFonts w:ascii="Times New Roman" w:eastAsia="Times New Roman" w:hAnsi="Times New Roman" w:cs="Times New Roman"/>
                <w:color w:val="000000"/>
                <w:sz w:val="16"/>
                <w:szCs w:val="20"/>
              </w:rPr>
            </w:pPr>
          </w:p>
        </w:tc>
        <w:tc>
          <w:tcPr>
            <w:tcW w:w="974" w:type="dxa"/>
            <w:tcBorders>
              <w:top w:val="nil"/>
              <w:left w:val="nil"/>
              <w:bottom w:val="single" w:sz="4" w:space="0" w:color="auto"/>
              <w:right w:val="single" w:sz="4" w:space="0" w:color="auto"/>
            </w:tcBorders>
            <w:shd w:val="clear" w:color="auto" w:fill="auto"/>
            <w:noWrap/>
            <w:vAlign w:val="center"/>
            <w:hideMark/>
          </w:tcPr>
          <w:p w14:paraId="35D79F3C"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Pipeline</w:t>
            </w:r>
          </w:p>
        </w:tc>
        <w:tc>
          <w:tcPr>
            <w:tcW w:w="716" w:type="dxa"/>
            <w:tcBorders>
              <w:top w:val="nil"/>
              <w:left w:val="nil"/>
              <w:bottom w:val="single" w:sz="4" w:space="0" w:color="auto"/>
              <w:right w:val="single" w:sz="4" w:space="0" w:color="auto"/>
            </w:tcBorders>
            <w:shd w:val="clear" w:color="auto" w:fill="auto"/>
            <w:noWrap/>
            <w:vAlign w:val="center"/>
            <w:hideMark/>
          </w:tcPr>
          <w:p w14:paraId="2C0490AC"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15</w:t>
            </w:r>
          </w:p>
        </w:tc>
        <w:tc>
          <w:tcPr>
            <w:tcW w:w="876" w:type="dxa"/>
            <w:tcBorders>
              <w:top w:val="nil"/>
              <w:left w:val="nil"/>
              <w:bottom w:val="single" w:sz="4" w:space="0" w:color="auto"/>
              <w:right w:val="single" w:sz="4" w:space="0" w:color="auto"/>
            </w:tcBorders>
            <w:shd w:val="clear" w:color="auto" w:fill="auto"/>
            <w:noWrap/>
            <w:vAlign w:val="center"/>
            <w:hideMark/>
          </w:tcPr>
          <w:p w14:paraId="462EE216"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15</w:t>
            </w:r>
          </w:p>
        </w:tc>
        <w:tc>
          <w:tcPr>
            <w:tcW w:w="990" w:type="dxa"/>
            <w:tcBorders>
              <w:top w:val="nil"/>
              <w:left w:val="nil"/>
              <w:bottom w:val="single" w:sz="4" w:space="0" w:color="auto"/>
              <w:right w:val="single" w:sz="4" w:space="0" w:color="auto"/>
            </w:tcBorders>
            <w:shd w:val="clear" w:color="auto" w:fill="auto"/>
            <w:noWrap/>
            <w:vAlign w:val="center"/>
            <w:hideMark/>
          </w:tcPr>
          <w:p w14:paraId="0FA44A66"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18</w:t>
            </w:r>
          </w:p>
        </w:tc>
        <w:tc>
          <w:tcPr>
            <w:tcW w:w="1620" w:type="dxa"/>
            <w:tcBorders>
              <w:top w:val="nil"/>
              <w:left w:val="nil"/>
              <w:bottom w:val="single" w:sz="4" w:space="0" w:color="auto"/>
              <w:right w:val="single" w:sz="4" w:space="0" w:color="auto"/>
            </w:tcBorders>
            <w:shd w:val="clear" w:color="auto" w:fill="auto"/>
            <w:noWrap/>
            <w:vAlign w:val="center"/>
            <w:hideMark/>
          </w:tcPr>
          <w:p w14:paraId="2CC6EDD1"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18</w:t>
            </w:r>
          </w:p>
        </w:tc>
      </w:tr>
      <w:tr w:rsidR="001253B7" w:rsidRPr="00ED3932" w14:paraId="257AE6EB" w14:textId="77777777" w:rsidTr="006E2833">
        <w:trPr>
          <w:trHeight w:val="47"/>
          <w:jc w:val="center"/>
        </w:trPr>
        <w:tc>
          <w:tcPr>
            <w:tcW w:w="1369" w:type="dxa"/>
            <w:vMerge/>
            <w:tcBorders>
              <w:top w:val="nil"/>
              <w:left w:val="single" w:sz="4" w:space="0" w:color="auto"/>
              <w:bottom w:val="single" w:sz="4" w:space="0" w:color="000000"/>
              <w:right w:val="single" w:sz="4" w:space="0" w:color="auto"/>
            </w:tcBorders>
            <w:vAlign w:val="center"/>
            <w:hideMark/>
          </w:tcPr>
          <w:p w14:paraId="5FD80F59" w14:textId="77777777" w:rsidR="001253B7" w:rsidRPr="00ED3932" w:rsidRDefault="001253B7" w:rsidP="002714D1">
            <w:pPr>
              <w:spacing w:after="0" w:line="240" w:lineRule="auto"/>
              <w:rPr>
                <w:rFonts w:ascii="Times New Roman" w:eastAsia="Times New Roman" w:hAnsi="Times New Roman" w:cs="Times New Roman"/>
                <w:color w:val="000000"/>
                <w:sz w:val="16"/>
                <w:szCs w:val="20"/>
              </w:rPr>
            </w:pPr>
          </w:p>
        </w:tc>
        <w:tc>
          <w:tcPr>
            <w:tcW w:w="974" w:type="dxa"/>
            <w:tcBorders>
              <w:top w:val="nil"/>
              <w:left w:val="nil"/>
              <w:bottom w:val="single" w:sz="4" w:space="0" w:color="auto"/>
              <w:right w:val="single" w:sz="4" w:space="0" w:color="auto"/>
            </w:tcBorders>
            <w:shd w:val="clear" w:color="auto" w:fill="auto"/>
            <w:noWrap/>
            <w:vAlign w:val="center"/>
            <w:hideMark/>
          </w:tcPr>
          <w:p w14:paraId="7ED1BD9E"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LNG</w:t>
            </w:r>
          </w:p>
        </w:tc>
        <w:tc>
          <w:tcPr>
            <w:tcW w:w="716" w:type="dxa"/>
            <w:tcBorders>
              <w:top w:val="nil"/>
              <w:left w:val="nil"/>
              <w:bottom w:val="single" w:sz="4" w:space="0" w:color="auto"/>
              <w:right w:val="single" w:sz="4" w:space="0" w:color="auto"/>
            </w:tcBorders>
            <w:shd w:val="clear" w:color="auto" w:fill="auto"/>
            <w:noWrap/>
            <w:vAlign w:val="center"/>
            <w:hideMark/>
          </w:tcPr>
          <w:p w14:paraId="4F645301"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14</w:t>
            </w:r>
          </w:p>
        </w:tc>
        <w:tc>
          <w:tcPr>
            <w:tcW w:w="876" w:type="dxa"/>
            <w:tcBorders>
              <w:top w:val="nil"/>
              <w:left w:val="nil"/>
              <w:bottom w:val="single" w:sz="4" w:space="0" w:color="auto"/>
              <w:right w:val="single" w:sz="4" w:space="0" w:color="auto"/>
            </w:tcBorders>
            <w:shd w:val="clear" w:color="auto" w:fill="auto"/>
            <w:noWrap/>
            <w:vAlign w:val="center"/>
            <w:hideMark/>
          </w:tcPr>
          <w:p w14:paraId="56D129E6"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33</w:t>
            </w:r>
          </w:p>
        </w:tc>
        <w:tc>
          <w:tcPr>
            <w:tcW w:w="990" w:type="dxa"/>
            <w:tcBorders>
              <w:top w:val="nil"/>
              <w:left w:val="nil"/>
              <w:bottom w:val="single" w:sz="4" w:space="0" w:color="auto"/>
              <w:right w:val="single" w:sz="4" w:space="0" w:color="auto"/>
            </w:tcBorders>
            <w:shd w:val="clear" w:color="auto" w:fill="auto"/>
            <w:noWrap/>
            <w:vAlign w:val="center"/>
            <w:hideMark/>
          </w:tcPr>
          <w:p w14:paraId="314142E8"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44</w:t>
            </w:r>
          </w:p>
        </w:tc>
        <w:tc>
          <w:tcPr>
            <w:tcW w:w="1620" w:type="dxa"/>
            <w:tcBorders>
              <w:top w:val="nil"/>
              <w:left w:val="nil"/>
              <w:bottom w:val="single" w:sz="4" w:space="0" w:color="auto"/>
              <w:right w:val="single" w:sz="4" w:space="0" w:color="auto"/>
            </w:tcBorders>
            <w:shd w:val="clear" w:color="auto" w:fill="auto"/>
            <w:noWrap/>
            <w:vAlign w:val="center"/>
            <w:hideMark/>
          </w:tcPr>
          <w:p w14:paraId="2FB09CC4" w14:textId="77777777" w:rsidR="001253B7" w:rsidRPr="00ED3932" w:rsidRDefault="001253B7" w:rsidP="002714D1">
            <w:pPr>
              <w:spacing w:after="0" w:line="240" w:lineRule="auto"/>
              <w:jc w:val="center"/>
              <w:rPr>
                <w:rFonts w:ascii="Calibri" w:eastAsia="Times New Roman" w:hAnsi="Calibri" w:cs="Times New Roman"/>
                <w:color w:val="000000"/>
              </w:rPr>
            </w:pPr>
            <w:r w:rsidRPr="00ED3932">
              <w:rPr>
                <w:rFonts w:ascii="Calibri" w:eastAsia="Times New Roman" w:hAnsi="Calibri" w:cs="Times New Roman"/>
                <w:color w:val="000000"/>
              </w:rPr>
              <w:t>51</w:t>
            </w:r>
          </w:p>
        </w:tc>
      </w:tr>
    </w:tbl>
    <w:p w14:paraId="7A5502E9" w14:textId="65CE4FFB" w:rsidR="006E2833" w:rsidRPr="00ED3932" w:rsidRDefault="006E2833" w:rsidP="006E2833">
      <w:pPr>
        <w:pStyle w:val="Caption"/>
        <w:spacing w:after="160"/>
        <w:contextualSpacing/>
        <w:rPr>
          <w:rFonts w:ascii="Calibri Light" w:eastAsia="Calibri" w:hAnsi="Calibri Light" w:cs="Arial"/>
          <w:sz w:val="16"/>
          <w:szCs w:val="16"/>
          <w:lang w:val="en-AU" w:eastAsia="ja-JP"/>
        </w:rPr>
      </w:pPr>
      <w:r w:rsidRPr="00ED3932">
        <w:rPr>
          <w:rFonts w:ascii="Calibri Light" w:eastAsia="Calibri" w:hAnsi="Calibri Light" w:cs="Arial"/>
          <w:sz w:val="16"/>
          <w:szCs w:val="16"/>
          <w:lang w:val="en-AU" w:eastAsia="ja-JP"/>
        </w:rPr>
        <w:t>Source: GECF Secretariat based on data from GECF GGM</w:t>
      </w:r>
    </w:p>
    <w:p w14:paraId="4D033B7D" w14:textId="77777777" w:rsidR="00E65D4B" w:rsidRPr="00ED3932" w:rsidRDefault="00E65D4B" w:rsidP="00E65D4B">
      <w:pPr>
        <w:jc w:val="lowKashida"/>
      </w:pPr>
      <w:r w:rsidRPr="00ED3932">
        <w:t xml:space="preserve">While there is projected extra market of around 115 </w:t>
      </w:r>
      <w:proofErr w:type="spellStart"/>
      <w:r w:rsidRPr="00ED3932">
        <w:t>bcm</w:t>
      </w:r>
      <w:proofErr w:type="spellEnd"/>
      <w:r w:rsidRPr="00ED3932">
        <w:t xml:space="preserve"> globally given somewhat lower LNG prices, without price flexibility there is extra 14% global LNG demand as the price is rigid. Given the price flexibility, the figure for additional trade tops 250 </w:t>
      </w:r>
      <w:proofErr w:type="spellStart"/>
      <w:r w:rsidRPr="00ED3932">
        <w:t>bcm</w:t>
      </w:r>
      <w:proofErr w:type="spellEnd"/>
      <w:r w:rsidRPr="00ED3932">
        <w:t xml:space="preserve"> compared to the Reference case scenario, including additional demand for 160 </w:t>
      </w:r>
      <w:proofErr w:type="spellStart"/>
      <w:r w:rsidRPr="00ED3932">
        <w:t>mtpa</w:t>
      </w:r>
      <w:proofErr w:type="spellEnd"/>
      <w:r w:rsidRPr="00ED3932">
        <w:t xml:space="preserve"> of LNG (+15%), including 120 </w:t>
      </w:r>
      <w:proofErr w:type="spellStart"/>
      <w:r w:rsidRPr="00ED3932">
        <w:t>mtpa</w:t>
      </w:r>
      <w:proofErr w:type="spellEnd"/>
      <w:r w:rsidRPr="00ED3932">
        <w:t xml:space="preserve"> in Asia. The effect is much less pronounced in Europe, as the market price is already mostly discovered via gas-to-gas competition, and </w:t>
      </w:r>
      <w:proofErr w:type="gramStart"/>
      <w:r w:rsidRPr="00ED3932">
        <w:t>cheap piped</w:t>
      </w:r>
      <w:proofErr w:type="gramEnd"/>
      <w:r w:rsidRPr="00ED3932">
        <w:t xml:space="preserve"> gas is abundant to compete with LNG.</w:t>
      </w:r>
    </w:p>
    <w:p w14:paraId="3C258DA4" w14:textId="1044A59C" w:rsidR="00E65D4B" w:rsidRPr="00ED3932" w:rsidRDefault="007D02CE" w:rsidP="00E65D4B">
      <w:pPr>
        <w:rPr>
          <w:lang w:eastAsia="ja-JP"/>
        </w:rPr>
      </w:pPr>
      <w:r w:rsidRPr="00ED3932">
        <w:rPr>
          <w:lang w:eastAsia="ja-JP"/>
        </w:rPr>
        <w:t>Market integration clearly increases as LN</w:t>
      </w:r>
      <w:r w:rsidR="008F4376" w:rsidRPr="00ED3932">
        <w:rPr>
          <w:lang w:eastAsia="ja-JP"/>
        </w:rPr>
        <w:t>G</w:t>
      </w:r>
      <w:r w:rsidRPr="00ED3932">
        <w:rPr>
          <w:lang w:eastAsia="ja-JP"/>
        </w:rPr>
        <w:t xml:space="preserve"> supply grows, with “Asian premium</w:t>
      </w:r>
      <w:proofErr w:type="gramStart"/>
      <w:r w:rsidRPr="00ED3932">
        <w:rPr>
          <w:lang w:eastAsia="ja-JP"/>
        </w:rPr>
        <w:t>” basically</w:t>
      </w:r>
      <w:proofErr w:type="gramEnd"/>
      <w:r w:rsidRPr="00ED3932">
        <w:rPr>
          <w:lang w:eastAsia="ja-JP"/>
        </w:rPr>
        <w:t xml:space="preserve"> disappearing after 2030 as the market is liberalized.</w:t>
      </w:r>
    </w:p>
    <w:p w14:paraId="47B79142" w14:textId="3B8900AE" w:rsidR="00117671" w:rsidRPr="00ED3932" w:rsidRDefault="00117671" w:rsidP="005730C7">
      <w:pPr>
        <w:pStyle w:val="Heading4"/>
        <w:jc w:val="center"/>
      </w:pPr>
      <w:bookmarkStart w:id="83" w:name="_Toc1661460"/>
      <w:r w:rsidRPr="00ED3932">
        <w:t xml:space="preserve">Figure 2. LNG </w:t>
      </w:r>
      <w:r w:rsidR="005730C7" w:rsidRPr="00ED3932">
        <w:t>projected</w:t>
      </w:r>
      <w:r w:rsidRPr="00ED3932">
        <w:t xml:space="preserve"> prices</w:t>
      </w:r>
      <w:r w:rsidR="005730C7" w:rsidRPr="00ED3932">
        <w:t xml:space="preserve"> in case of oversupply</w:t>
      </w:r>
      <w:r w:rsidRPr="00ED3932">
        <w:t>, $/</w:t>
      </w:r>
      <w:proofErr w:type="spellStart"/>
      <w:r w:rsidRPr="00ED3932">
        <w:t>mmbtu</w:t>
      </w:r>
      <w:bookmarkEnd w:id="83"/>
      <w:proofErr w:type="spellEnd"/>
    </w:p>
    <w:p w14:paraId="617C1BB5" w14:textId="62E54700" w:rsidR="00E65D4B" w:rsidRPr="00ED3932" w:rsidRDefault="00E65D4B" w:rsidP="00E65D4B">
      <w:pPr>
        <w:jc w:val="center"/>
      </w:pPr>
      <w:r w:rsidRPr="00ED3932">
        <w:rPr>
          <w:noProof/>
        </w:rPr>
        <w:drawing>
          <wp:inline distT="0" distB="0" distL="0" distR="0" wp14:anchorId="10E1A7FD" wp14:editId="0C82EF37">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1BE3E2F" w14:textId="40630239" w:rsidR="006E2833" w:rsidRPr="00ED3932" w:rsidRDefault="00E65D4B" w:rsidP="006E2833">
      <w:pPr>
        <w:pStyle w:val="Caption"/>
        <w:spacing w:after="160"/>
        <w:contextualSpacing/>
        <w:rPr>
          <w:rFonts w:ascii="Calibri Light" w:eastAsia="Calibri" w:hAnsi="Calibri Light" w:cs="Arial"/>
          <w:sz w:val="16"/>
          <w:szCs w:val="16"/>
          <w:lang w:val="en-AU" w:eastAsia="ja-JP"/>
        </w:rPr>
      </w:pPr>
      <w:proofErr w:type="spellStart"/>
      <w:proofErr w:type="gramStart"/>
      <w:r w:rsidRPr="00ED3932">
        <w:rPr>
          <w:rFonts w:ascii="Calibri Light" w:eastAsia="Calibri" w:hAnsi="Calibri Light" w:cs="Arial"/>
          <w:sz w:val="16"/>
          <w:szCs w:val="16"/>
          <w:lang w:val="en-AU" w:eastAsia="ja-JP"/>
        </w:rPr>
        <w:t>x</w:t>
      </w:r>
      <w:r w:rsidR="006E2833" w:rsidRPr="00ED3932">
        <w:rPr>
          <w:rFonts w:ascii="Calibri Light" w:eastAsia="Calibri" w:hAnsi="Calibri Light" w:cs="Arial"/>
          <w:sz w:val="16"/>
          <w:szCs w:val="16"/>
          <w:lang w:val="en-AU" w:eastAsia="ja-JP"/>
        </w:rPr>
        <w:t>ource</w:t>
      </w:r>
      <w:proofErr w:type="spellEnd"/>
      <w:proofErr w:type="gramEnd"/>
      <w:r w:rsidR="006E2833" w:rsidRPr="00ED3932">
        <w:rPr>
          <w:rFonts w:ascii="Calibri Light" w:eastAsia="Calibri" w:hAnsi="Calibri Light" w:cs="Arial"/>
          <w:sz w:val="16"/>
          <w:szCs w:val="16"/>
          <w:lang w:val="en-AU" w:eastAsia="ja-JP"/>
        </w:rPr>
        <w:t>: GECF Secretariat based on data from GECF GGM</w:t>
      </w:r>
    </w:p>
    <w:p w14:paraId="315923A4" w14:textId="6CD2E5F8" w:rsidR="00E65D4B" w:rsidRPr="00ED3932" w:rsidRDefault="00D57C66" w:rsidP="00E65D4B">
      <w:pPr>
        <w:rPr>
          <w:lang w:val="en-AU" w:eastAsia="ja-JP"/>
        </w:rPr>
      </w:pPr>
      <w:r w:rsidRPr="00ED3932">
        <w:rPr>
          <w:lang w:val="en-AU" w:eastAsia="ja-JP"/>
        </w:rPr>
        <w:t xml:space="preserve">The results show more market integration also with respect to the benchmarking. Isolated Latin American market price actually could </w:t>
      </w:r>
      <w:r w:rsidR="007D02CE" w:rsidRPr="00ED3932">
        <w:rPr>
          <w:lang w:val="en-AU" w:eastAsia="ja-JP"/>
        </w:rPr>
        <w:t>increase given more integration, as gas trade contracts in the region are dominantly oil-indexed.</w:t>
      </w:r>
    </w:p>
    <w:p w14:paraId="172769BF" w14:textId="6E6C5C25" w:rsidR="00E65D4B" w:rsidRPr="00ED3932" w:rsidRDefault="00E65D4B" w:rsidP="00E65D4B">
      <w:pPr>
        <w:pStyle w:val="Heading4"/>
        <w:jc w:val="center"/>
      </w:pPr>
      <w:bookmarkStart w:id="84" w:name="_Toc1661461"/>
      <w:r w:rsidRPr="00ED3932">
        <w:lastRenderedPageBreak/>
        <w:t>Figure 3. LNG projected prices in case of oversupply vs. Ref Case, $/</w:t>
      </w:r>
      <w:proofErr w:type="spellStart"/>
      <w:r w:rsidRPr="00ED3932">
        <w:t>mmbtu</w:t>
      </w:r>
      <w:bookmarkEnd w:id="84"/>
      <w:proofErr w:type="spellEnd"/>
    </w:p>
    <w:p w14:paraId="28005EA0" w14:textId="2A97F062" w:rsidR="00E65D4B" w:rsidRPr="00ED3932" w:rsidRDefault="00E65D4B" w:rsidP="00E65D4B">
      <w:pPr>
        <w:rPr>
          <w:lang w:val="en-AU"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E65D4B" w:rsidRPr="00ED3932" w14:paraId="302160E1" w14:textId="77777777" w:rsidTr="00D57C66">
        <w:tc>
          <w:tcPr>
            <w:tcW w:w="4680" w:type="dxa"/>
          </w:tcPr>
          <w:p w14:paraId="755C67A1" w14:textId="393E5765" w:rsidR="00E65D4B" w:rsidRPr="00ED3932" w:rsidRDefault="00E65D4B" w:rsidP="00551C8D">
            <w:pPr>
              <w:rPr>
                <w:color w:val="373737"/>
                <w:sz w:val="28"/>
              </w:rPr>
            </w:pPr>
            <w:r w:rsidRPr="00ED3932">
              <w:rPr>
                <w:noProof/>
              </w:rPr>
              <w:drawing>
                <wp:inline distT="0" distB="0" distL="0" distR="0" wp14:anchorId="27AB98F5" wp14:editId="30101815">
                  <wp:extent cx="3048000" cy="17526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680" w:type="dxa"/>
          </w:tcPr>
          <w:p w14:paraId="750085FE" w14:textId="1F05FD66" w:rsidR="00E65D4B" w:rsidRPr="00ED3932" w:rsidRDefault="00E65D4B" w:rsidP="00551C8D">
            <w:pPr>
              <w:rPr>
                <w:color w:val="373737"/>
                <w:sz w:val="28"/>
              </w:rPr>
            </w:pPr>
            <w:r w:rsidRPr="00ED3932">
              <w:rPr>
                <w:noProof/>
              </w:rPr>
              <w:drawing>
                <wp:inline distT="0" distB="0" distL="0" distR="0" wp14:anchorId="43D6E30F" wp14:editId="5F884636">
                  <wp:extent cx="3048000" cy="17526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E65D4B" w:rsidRPr="00ED3932" w14:paraId="6ED6B868" w14:textId="77777777" w:rsidTr="00D57C66">
        <w:tc>
          <w:tcPr>
            <w:tcW w:w="9360" w:type="dxa"/>
            <w:gridSpan w:val="2"/>
          </w:tcPr>
          <w:p w14:paraId="0B8E581B" w14:textId="2430C75A" w:rsidR="00E65D4B" w:rsidRPr="00ED3932" w:rsidRDefault="00D57C66" w:rsidP="00551C8D">
            <w:pPr>
              <w:jc w:val="center"/>
              <w:rPr>
                <w:color w:val="373737"/>
                <w:sz w:val="28"/>
              </w:rPr>
            </w:pPr>
            <w:r w:rsidRPr="00ED3932">
              <w:rPr>
                <w:noProof/>
              </w:rPr>
              <w:drawing>
                <wp:inline distT="0" distB="0" distL="0" distR="0" wp14:anchorId="7E5C8ECC" wp14:editId="48DEBE2A">
                  <wp:extent cx="3048000" cy="17526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714B8AE8" w14:textId="26EEADFE" w:rsidR="00551423" w:rsidRPr="00ED3932" w:rsidRDefault="00551423" w:rsidP="00551423">
      <w:pPr>
        <w:jc w:val="lowKashida"/>
      </w:pPr>
      <w:r w:rsidRPr="00ED3932">
        <w:t xml:space="preserve">The effect of full price liberalization is twofold – it increases traded volumes, expanding the markets by estimated 15% relative to case with simple LNG oversupply, but the price levels in this scenario guarantee almost no new investment coming in the gas supply infrastructure after announced projects are fulfilled (according to the schedule). </w:t>
      </w:r>
    </w:p>
    <w:p w14:paraId="5D80D8C7" w14:textId="2327D7D8" w:rsidR="001253B7" w:rsidRPr="00ED3932" w:rsidRDefault="001253B7" w:rsidP="00995417">
      <w:pPr>
        <w:jc w:val="lowKashida"/>
      </w:pPr>
      <w:r w:rsidRPr="00ED3932">
        <w:t>The NPV for the new projects stays negative under any plausible assumptions from 2025 to 2040. The net global effect for the LNG exporters is close to zero for LNG oversupply case, and negative in case both price liberalization and LNG oversupply take the effect. However, the regional structure of exports matters: exporting LNG to Asian and Latin American markets stays marginally profitable even after full price liberalization, while European LNG supplies do not, that is probably why volumes almost do not change.</w:t>
      </w:r>
    </w:p>
    <w:p w14:paraId="57948827" w14:textId="77777777" w:rsidR="001253B7" w:rsidRPr="00ED3932" w:rsidRDefault="001253B7" w:rsidP="00A272EF">
      <w:pPr>
        <w:pStyle w:val="Heading1"/>
        <w:spacing w:after="240"/>
        <w:jc w:val="lowKashida"/>
        <w:rPr>
          <w:rFonts w:cs="Helvetica"/>
        </w:rPr>
      </w:pPr>
      <w:bookmarkStart w:id="85" w:name="_Toc1561788"/>
      <w:bookmarkStart w:id="86" w:name="_Toc1561841"/>
      <w:bookmarkStart w:id="87" w:name="_Toc1561971"/>
      <w:bookmarkStart w:id="88" w:name="_Toc1661462"/>
      <w:r w:rsidRPr="00ED3932">
        <w:rPr>
          <w:rFonts w:cs="Helvetica"/>
        </w:rPr>
        <w:t>Conclusions and policy implications</w:t>
      </w:r>
      <w:bookmarkEnd w:id="85"/>
      <w:bookmarkEnd w:id="86"/>
      <w:bookmarkEnd w:id="87"/>
      <w:bookmarkEnd w:id="88"/>
    </w:p>
    <w:p w14:paraId="78382877" w14:textId="6F874EF9" w:rsidR="001253B7" w:rsidRPr="00ED3932" w:rsidRDefault="001253B7" w:rsidP="00995417">
      <w:pPr>
        <w:jc w:val="lowKashida"/>
      </w:pPr>
      <w:r w:rsidRPr="00ED3932">
        <w:t xml:space="preserve">There are three main outtakes from the modelling. First, gas market design and pricing mechanisms matter, especially in how the Asian customers behave. By 2025, some of them will have access to the piped gas from Russia, as well as to an increasing indigenous production of natural gas. Secondly, the impact of “LNG glut” for Latin American and European markets </w:t>
      </w:r>
      <w:proofErr w:type="gramStart"/>
      <w:r w:rsidRPr="00ED3932">
        <w:t>is often overlooked</w:t>
      </w:r>
      <w:proofErr w:type="gramEnd"/>
      <w:r w:rsidRPr="00ED3932">
        <w:t xml:space="preserve">, as those markets are price-sensitive and could absorb up to extra 40 </w:t>
      </w:r>
      <w:proofErr w:type="spellStart"/>
      <w:r w:rsidR="00983CB1" w:rsidRPr="00ED3932">
        <w:t>mtpa</w:t>
      </w:r>
      <w:proofErr w:type="spellEnd"/>
      <w:r w:rsidRPr="00ED3932">
        <w:t xml:space="preserve"> annually, even as the pipeline gas consumption is flat or growing. Thirdly, the policy drivers of natural gas demand </w:t>
      </w:r>
      <w:proofErr w:type="gramStart"/>
      <w:r w:rsidRPr="00ED3932">
        <w:t>should not be overlooked</w:t>
      </w:r>
      <w:proofErr w:type="gramEnd"/>
      <w:r w:rsidRPr="00ED3932">
        <w:t>. The gas use in China as per Chinese 13th Five-year plan was undercut in 2017-2018 by the lack of infrastructure and affordability challenges vis-à-vis coal, but the demand is also price-elastic and might ramp up quickly (</w:t>
      </w:r>
      <w:proofErr w:type="spellStart"/>
      <w:r w:rsidRPr="00ED3932">
        <w:t>Wanga</w:t>
      </w:r>
      <w:proofErr w:type="spellEnd"/>
      <w:r w:rsidRPr="00ED3932">
        <w:t xml:space="preserve"> and </w:t>
      </w:r>
      <w:proofErr w:type="spellStart"/>
      <w:r w:rsidRPr="00ED3932">
        <w:t>Xue</w:t>
      </w:r>
      <w:proofErr w:type="spellEnd"/>
      <w:r w:rsidRPr="00ED3932">
        <w:t xml:space="preserve">, 2017). </w:t>
      </w:r>
    </w:p>
    <w:p w14:paraId="42BF42EE" w14:textId="67D90641" w:rsidR="00B26AA9" w:rsidRPr="00995417" w:rsidRDefault="00800F0E" w:rsidP="00995417">
      <w:pPr>
        <w:jc w:val="lowKashida"/>
      </w:pPr>
      <w:r w:rsidRPr="00ED3932">
        <w:lastRenderedPageBreak/>
        <w:t>The results of modelling contest</w:t>
      </w:r>
      <w:r w:rsidR="001253B7" w:rsidRPr="00ED3932">
        <w:t xml:space="preserve"> that the “LNG glut” and “LNG revolution” would be absorbed by the growing markets in full with no effect, as the LNG price effect of such competition is </w:t>
      </w:r>
      <w:r w:rsidR="0069513F" w:rsidRPr="00ED3932">
        <w:t>visible</w:t>
      </w:r>
      <w:r w:rsidR="001253B7" w:rsidRPr="00ED3932">
        <w:t xml:space="preserve">. While there is a significant increase in volumes, it is not beneficial for the exporters, as it challenges the business model they use. The latest IEA Outlook features the special topic on gas exporter strategies in case of oversupply, and the main outtake is in line with the modelling results. As it is, the LNG (and natural gas) oversupply is not beneficial for exporters, but natural gas emerges as a market for </w:t>
      </w:r>
      <w:r w:rsidR="00BF0538" w:rsidRPr="00ED3932">
        <w:t xml:space="preserve">different </w:t>
      </w:r>
      <w:r w:rsidR="001253B7" w:rsidRPr="00ED3932">
        <w:t>term supplies, where short-term and long-term, firm and flexible supply forms of the same commodity coexist. If such changes in market structure would allow the equitable risk sharing between exporters and importers, there is enough gas demand to support it.</w:t>
      </w:r>
    </w:p>
    <w:p w14:paraId="05AC144B" w14:textId="77777777" w:rsidR="001253B7" w:rsidRDefault="001253B7" w:rsidP="0044546E">
      <w:pPr>
        <w:rPr>
          <w:rFonts w:asciiTheme="majorHAnsi" w:hAnsiTheme="majorHAnsi" w:cstheme="majorHAnsi"/>
          <w:color w:val="373737"/>
          <w:sz w:val="28"/>
          <w:szCs w:val="24"/>
        </w:rPr>
        <w:sectPr w:rsidR="001253B7" w:rsidSect="004E247F">
          <w:pgSz w:w="12240" w:h="15840"/>
          <w:pgMar w:top="1440" w:right="1440" w:bottom="1440" w:left="1440" w:header="720" w:footer="720" w:gutter="0"/>
          <w:cols w:space="720"/>
          <w:docGrid w:linePitch="360"/>
        </w:sectPr>
      </w:pPr>
    </w:p>
    <w:p w14:paraId="1BBD1963" w14:textId="77777777" w:rsidR="001253B7" w:rsidRPr="008939E2" w:rsidRDefault="001253B7" w:rsidP="001253B7">
      <w:pPr>
        <w:autoSpaceDE w:val="0"/>
        <w:autoSpaceDN w:val="0"/>
        <w:adjustRightInd w:val="0"/>
        <w:spacing w:after="0" w:line="240" w:lineRule="auto"/>
        <w:rPr>
          <w:rFonts w:ascii="Times New Roman" w:hAnsi="Times New Roman" w:cs="Times New Roman"/>
          <w:b/>
          <w:bCs/>
          <w:color w:val="000000"/>
          <w:sz w:val="20"/>
          <w:szCs w:val="20"/>
        </w:rPr>
      </w:pPr>
      <w:r w:rsidRPr="008939E2">
        <w:rPr>
          <w:rFonts w:ascii="Times New Roman" w:hAnsi="Times New Roman" w:cs="Times New Roman"/>
          <w:b/>
          <w:bCs/>
          <w:color w:val="000000"/>
          <w:sz w:val="20"/>
          <w:szCs w:val="20"/>
        </w:rPr>
        <w:lastRenderedPageBreak/>
        <w:t>References</w:t>
      </w:r>
    </w:p>
    <w:p w14:paraId="2FDE2CCF" w14:textId="77777777" w:rsidR="001253B7" w:rsidRPr="00C531E3" w:rsidRDefault="001253B7" w:rsidP="001253B7">
      <w:pPr>
        <w:autoSpaceDE w:val="0"/>
        <w:autoSpaceDN w:val="0"/>
        <w:adjustRightInd w:val="0"/>
        <w:spacing w:after="0" w:line="240" w:lineRule="auto"/>
        <w:rPr>
          <w:rFonts w:ascii="Calibri" w:hAnsi="Calibri" w:cs="Calibri"/>
          <w:color w:val="000000"/>
        </w:rPr>
      </w:pPr>
      <w:r w:rsidRPr="00C531E3">
        <w:rPr>
          <w:rFonts w:ascii="Calibri" w:hAnsi="Calibri" w:cs="Calibri"/>
          <w:color w:val="000000"/>
        </w:rPr>
        <w:t xml:space="preserve">LNG Markets in Transition: The Great Reconfiguration, Oxford University Press, 2016, ISBN 978 - 0 - 19 - 878326 - 8 </w:t>
      </w:r>
    </w:p>
    <w:p w14:paraId="7969DB2F" w14:textId="77777777" w:rsidR="001253B7" w:rsidRPr="00C531E3" w:rsidRDefault="001253B7" w:rsidP="001253B7">
      <w:pPr>
        <w:autoSpaceDE w:val="0"/>
        <w:autoSpaceDN w:val="0"/>
        <w:adjustRightInd w:val="0"/>
        <w:spacing w:after="0" w:line="240" w:lineRule="auto"/>
        <w:rPr>
          <w:rFonts w:ascii="Calibri" w:hAnsi="Calibri" w:cs="Calibri"/>
        </w:rPr>
      </w:pPr>
      <w:r w:rsidRPr="00C531E3">
        <w:rPr>
          <w:rFonts w:ascii="Calibri" w:hAnsi="Calibri" w:cs="Calibri"/>
          <w:color w:val="000000"/>
        </w:rPr>
        <w:t xml:space="preserve">Mark </w:t>
      </w:r>
      <w:proofErr w:type="spellStart"/>
      <w:r w:rsidRPr="00C531E3">
        <w:rPr>
          <w:rFonts w:ascii="Calibri" w:hAnsi="Calibri" w:cs="Calibri"/>
          <w:color w:val="000000"/>
        </w:rPr>
        <w:t>Agerton</w:t>
      </w:r>
      <w:proofErr w:type="spellEnd"/>
      <w:r w:rsidRPr="00C531E3">
        <w:rPr>
          <w:rFonts w:ascii="Calibri" w:hAnsi="Calibri" w:cs="Calibri"/>
          <w:color w:val="000000"/>
        </w:rPr>
        <w:t xml:space="preserve"> Global LNG Pricing Terms and Revisions: An Empirical Analysis. </w:t>
      </w:r>
      <w:r w:rsidRPr="00C531E3">
        <w:rPr>
          <w:rFonts w:ascii="Calibri" w:hAnsi="Calibri" w:cs="Calibri"/>
          <w:i/>
          <w:color w:val="000000"/>
        </w:rPr>
        <w:t>The Energy Journal</w:t>
      </w:r>
      <w:r w:rsidRPr="00C531E3">
        <w:rPr>
          <w:rFonts w:ascii="Calibri" w:hAnsi="Calibri" w:cs="Calibri"/>
          <w:color w:val="000000"/>
        </w:rPr>
        <w:t>, Volume 38,</w:t>
      </w:r>
      <w:r w:rsidRPr="00C531E3">
        <w:rPr>
          <w:rFonts w:ascii="Calibri" w:hAnsi="Calibri" w:cs="Calibri"/>
        </w:rPr>
        <w:t xml:space="preserve"> Number 1. </w:t>
      </w:r>
    </w:p>
    <w:p w14:paraId="6D0AA00B" w14:textId="77777777" w:rsidR="001253B7" w:rsidRPr="00C531E3" w:rsidRDefault="001253B7" w:rsidP="001253B7">
      <w:pPr>
        <w:autoSpaceDE w:val="0"/>
        <w:autoSpaceDN w:val="0"/>
        <w:adjustRightInd w:val="0"/>
        <w:spacing w:after="0" w:line="240" w:lineRule="auto"/>
        <w:rPr>
          <w:rFonts w:ascii="Calibri" w:hAnsi="Calibri" w:cs="Calibri"/>
          <w:color w:val="000000"/>
        </w:rPr>
      </w:pPr>
      <w:r w:rsidRPr="00C531E3">
        <w:rPr>
          <w:rFonts w:ascii="Calibri" w:hAnsi="Calibri" w:cs="Calibri"/>
          <w:color w:val="000000"/>
        </w:rPr>
        <w:t xml:space="preserve">Roberto </w:t>
      </w:r>
      <w:proofErr w:type="spellStart"/>
      <w:r w:rsidRPr="00C531E3">
        <w:rPr>
          <w:rFonts w:ascii="Calibri" w:hAnsi="Calibri" w:cs="Calibri"/>
          <w:color w:val="000000"/>
        </w:rPr>
        <w:t>F.Aguilera</w:t>
      </w:r>
      <w:proofErr w:type="spellEnd"/>
      <w:r w:rsidRPr="00C531E3">
        <w:rPr>
          <w:rFonts w:ascii="Calibri" w:hAnsi="Calibri" w:cs="Calibri"/>
          <w:color w:val="000000"/>
        </w:rPr>
        <w:t xml:space="preserve">, Julian </w:t>
      </w:r>
      <w:bookmarkStart w:id="89" w:name="bau0015"/>
      <w:proofErr w:type="spellStart"/>
      <w:r w:rsidRPr="00C531E3">
        <w:rPr>
          <w:rFonts w:ascii="Calibri" w:hAnsi="Calibri" w:cs="Calibri"/>
          <w:color w:val="000000"/>
        </w:rPr>
        <w:t>Inchauspe</w:t>
      </w:r>
      <w:proofErr w:type="spellEnd"/>
      <w:r w:rsidRPr="00C531E3">
        <w:rPr>
          <w:rFonts w:ascii="Calibri" w:hAnsi="Calibri" w:cs="Calibri"/>
          <w:color w:val="000000"/>
        </w:rPr>
        <w:t xml:space="preserve">, Ronald </w:t>
      </w:r>
      <w:proofErr w:type="spellStart"/>
      <w:r w:rsidRPr="00C531E3">
        <w:rPr>
          <w:rFonts w:ascii="Calibri" w:hAnsi="Calibri" w:cs="Calibri"/>
          <w:color w:val="000000"/>
        </w:rPr>
        <w:t>D.Ripple</w:t>
      </w:r>
      <w:bookmarkEnd w:id="89"/>
      <w:proofErr w:type="spellEnd"/>
      <w:r w:rsidRPr="00C531E3">
        <w:rPr>
          <w:rFonts w:ascii="Calibri" w:hAnsi="Calibri" w:cs="Calibri"/>
          <w:color w:val="000000"/>
        </w:rPr>
        <w:t xml:space="preserve">. The Asia Pacific natural gas market: Large enough for all? </w:t>
      </w:r>
      <w:r w:rsidRPr="00C531E3">
        <w:rPr>
          <w:rFonts w:ascii="Calibri" w:hAnsi="Calibri" w:cs="Calibri"/>
          <w:i/>
          <w:color w:val="000000"/>
        </w:rPr>
        <w:t>Energy Policy</w:t>
      </w:r>
      <w:r w:rsidRPr="00C531E3">
        <w:rPr>
          <w:rFonts w:ascii="Calibri" w:hAnsi="Calibri" w:cs="Calibri"/>
          <w:color w:val="000000"/>
        </w:rPr>
        <w:t>, Volume 65, February 2014, Pages 1-6</w:t>
      </w:r>
    </w:p>
    <w:p w14:paraId="4BAABD82" w14:textId="77777777" w:rsidR="001253B7" w:rsidRPr="00C531E3" w:rsidRDefault="001253B7" w:rsidP="001253B7">
      <w:pPr>
        <w:autoSpaceDE w:val="0"/>
        <w:autoSpaceDN w:val="0"/>
        <w:adjustRightInd w:val="0"/>
        <w:spacing w:after="0" w:line="240" w:lineRule="auto"/>
        <w:rPr>
          <w:rFonts w:ascii="Calibri" w:hAnsi="Calibri" w:cs="Calibri"/>
          <w:color w:val="000000"/>
        </w:rPr>
      </w:pPr>
      <w:r w:rsidRPr="00C531E3">
        <w:rPr>
          <w:rFonts w:ascii="Calibri" w:hAnsi="Calibri" w:cs="Calibri"/>
          <w:color w:val="000000"/>
        </w:rPr>
        <w:t>Anne-Sophie </w:t>
      </w:r>
      <w:proofErr w:type="spellStart"/>
      <w:r w:rsidRPr="00C531E3">
        <w:rPr>
          <w:rFonts w:ascii="Calibri" w:hAnsi="Calibri" w:cs="Calibri"/>
          <w:color w:val="000000"/>
        </w:rPr>
        <w:t>Corbeau</w:t>
      </w:r>
      <w:proofErr w:type="spellEnd"/>
      <w:r w:rsidRPr="00C531E3">
        <w:rPr>
          <w:rFonts w:ascii="Calibri" w:hAnsi="Calibri" w:cs="Calibri"/>
          <w:color w:val="000000"/>
        </w:rPr>
        <w:t xml:space="preserve">. Global LNG Market Outlook and Repercussions for Europe. </w:t>
      </w:r>
      <w:r w:rsidRPr="00C531E3">
        <w:rPr>
          <w:rFonts w:ascii="Calibri" w:hAnsi="Calibri" w:cs="Calibri"/>
          <w:i/>
          <w:color w:val="000000"/>
        </w:rPr>
        <w:t>The European Gas Markets</w:t>
      </w:r>
      <w:r w:rsidRPr="00C531E3">
        <w:rPr>
          <w:rFonts w:ascii="Calibri" w:hAnsi="Calibri" w:cs="Calibri"/>
          <w:color w:val="000000"/>
        </w:rPr>
        <w:t>, pp 147-178</w:t>
      </w:r>
    </w:p>
    <w:p w14:paraId="7034F346" w14:textId="77777777" w:rsidR="001253B7" w:rsidRPr="00C531E3" w:rsidRDefault="001253B7" w:rsidP="001253B7">
      <w:pPr>
        <w:autoSpaceDE w:val="0"/>
        <w:autoSpaceDN w:val="0"/>
        <w:adjustRightInd w:val="0"/>
        <w:spacing w:after="0" w:line="240" w:lineRule="auto"/>
        <w:rPr>
          <w:rFonts w:ascii="Calibri" w:hAnsi="Calibri" w:cs="Calibri"/>
          <w:color w:val="000000"/>
        </w:rPr>
      </w:pPr>
      <w:bookmarkStart w:id="90" w:name="bau0005"/>
      <w:proofErr w:type="spellStart"/>
      <w:r w:rsidRPr="00C531E3">
        <w:rPr>
          <w:rFonts w:ascii="Calibri" w:hAnsi="Calibri" w:cs="Calibri"/>
          <w:color w:val="000000"/>
        </w:rPr>
        <w:t>Shohrat</w:t>
      </w:r>
      <w:proofErr w:type="spellEnd"/>
      <w:r w:rsidRPr="00C531E3">
        <w:rPr>
          <w:rFonts w:ascii="Calibri" w:hAnsi="Calibri" w:cs="Calibri"/>
          <w:color w:val="000000"/>
        </w:rPr>
        <w:t xml:space="preserve"> </w:t>
      </w:r>
      <w:proofErr w:type="spellStart"/>
      <w:r w:rsidRPr="00C531E3">
        <w:rPr>
          <w:rFonts w:ascii="Calibri" w:hAnsi="Calibri" w:cs="Calibri"/>
          <w:color w:val="000000"/>
        </w:rPr>
        <w:t>Niyazmuradov</w:t>
      </w:r>
      <w:proofErr w:type="spellEnd"/>
      <w:r w:rsidRPr="00C531E3">
        <w:rPr>
          <w:rFonts w:ascii="Calibri" w:hAnsi="Calibri" w:cs="Calibri"/>
          <w:color w:val="000000"/>
        </w:rPr>
        <w:t xml:space="preserve">, </w:t>
      </w:r>
      <w:proofErr w:type="spellStart"/>
      <w:r w:rsidRPr="00C531E3">
        <w:rPr>
          <w:rFonts w:ascii="Calibri" w:hAnsi="Calibri" w:cs="Calibri"/>
          <w:color w:val="000000"/>
        </w:rPr>
        <w:t>Eunnyeong</w:t>
      </w:r>
      <w:proofErr w:type="spellEnd"/>
      <w:r w:rsidRPr="00C531E3">
        <w:rPr>
          <w:rFonts w:ascii="Calibri" w:hAnsi="Calibri" w:cs="Calibri"/>
          <w:color w:val="000000"/>
        </w:rPr>
        <w:t xml:space="preserve"> </w:t>
      </w:r>
      <w:proofErr w:type="spellStart"/>
      <w:r w:rsidRPr="00C531E3">
        <w:rPr>
          <w:rFonts w:ascii="Calibri" w:hAnsi="Calibri" w:cs="Calibri"/>
          <w:color w:val="000000"/>
        </w:rPr>
        <w:t>Heo</w:t>
      </w:r>
      <w:proofErr w:type="spellEnd"/>
      <w:r w:rsidRPr="00C531E3">
        <w:rPr>
          <w:rFonts w:ascii="Calibri" w:hAnsi="Calibri" w:cs="Calibri"/>
          <w:color w:val="000000"/>
        </w:rPr>
        <w:t xml:space="preserve">. Long-term natural gas contracts evolution in the changing industry environment. </w:t>
      </w:r>
      <w:r w:rsidRPr="00C531E3">
        <w:rPr>
          <w:rFonts w:ascii="Calibri" w:hAnsi="Calibri" w:cs="Calibri"/>
          <w:i/>
          <w:color w:val="000000"/>
        </w:rPr>
        <w:t>Geosystem Engineering</w:t>
      </w:r>
      <w:r w:rsidRPr="00C531E3">
        <w:rPr>
          <w:rFonts w:ascii="Calibri" w:hAnsi="Calibri" w:cs="Calibri"/>
          <w:color w:val="000000"/>
        </w:rPr>
        <w:t xml:space="preserve">, Volume 21, 2018 - Issue 1 </w:t>
      </w:r>
    </w:p>
    <w:p w14:paraId="3A65B679" w14:textId="77777777" w:rsidR="001253B7" w:rsidRPr="00C531E3" w:rsidRDefault="001253B7" w:rsidP="001253B7">
      <w:pPr>
        <w:autoSpaceDE w:val="0"/>
        <w:autoSpaceDN w:val="0"/>
        <w:adjustRightInd w:val="0"/>
        <w:spacing w:after="0" w:line="240" w:lineRule="auto"/>
        <w:rPr>
          <w:rFonts w:ascii="Calibri" w:hAnsi="Calibri" w:cs="Calibri"/>
          <w:color w:val="000000"/>
        </w:rPr>
      </w:pPr>
      <w:r w:rsidRPr="00C531E3">
        <w:rPr>
          <w:rFonts w:ascii="Calibri" w:hAnsi="Calibri" w:cs="Calibri"/>
          <w:color w:val="000000"/>
        </w:rPr>
        <w:t xml:space="preserve">Michael </w:t>
      </w:r>
      <w:proofErr w:type="spellStart"/>
      <w:r w:rsidRPr="00C531E3">
        <w:rPr>
          <w:rFonts w:ascii="Calibri" w:hAnsi="Calibri" w:cs="Calibri"/>
          <w:color w:val="000000"/>
        </w:rPr>
        <w:t>Schach</w:t>
      </w:r>
      <w:proofErr w:type="spellEnd"/>
      <w:r w:rsidRPr="00C531E3">
        <w:rPr>
          <w:rFonts w:ascii="Calibri" w:hAnsi="Calibri" w:cs="Calibri"/>
          <w:color w:val="000000"/>
        </w:rPr>
        <w:t xml:space="preserve">, </w:t>
      </w:r>
      <w:proofErr w:type="spellStart"/>
      <w:r w:rsidRPr="00C531E3">
        <w:rPr>
          <w:rFonts w:ascii="Calibri" w:hAnsi="Calibri" w:cs="Calibri"/>
          <w:color w:val="000000"/>
        </w:rPr>
        <w:t>Reinhard</w:t>
      </w:r>
      <w:proofErr w:type="spellEnd"/>
      <w:r w:rsidRPr="00C531E3">
        <w:rPr>
          <w:rFonts w:ascii="Calibri" w:hAnsi="Calibri" w:cs="Calibri"/>
          <w:color w:val="000000"/>
        </w:rPr>
        <w:t xml:space="preserve"> </w:t>
      </w:r>
      <w:proofErr w:type="spellStart"/>
      <w:r w:rsidRPr="00C531E3">
        <w:rPr>
          <w:rFonts w:ascii="Calibri" w:hAnsi="Calibri" w:cs="Calibri"/>
          <w:color w:val="000000"/>
        </w:rPr>
        <w:t>Madlener</w:t>
      </w:r>
      <w:proofErr w:type="spellEnd"/>
      <w:r w:rsidRPr="00C531E3">
        <w:rPr>
          <w:rFonts w:ascii="Calibri" w:hAnsi="Calibri" w:cs="Calibri"/>
          <w:color w:val="000000"/>
        </w:rPr>
        <w:t xml:space="preserve">. Impacts of an ice-free Northeast Passage on LNG markets and geopolitics </w:t>
      </w:r>
      <w:r w:rsidRPr="00C531E3">
        <w:rPr>
          <w:rFonts w:ascii="Calibri" w:hAnsi="Calibri" w:cs="Calibri"/>
          <w:i/>
          <w:color w:val="000000"/>
        </w:rPr>
        <w:t>Energy Policy</w:t>
      </w:r>
      <w:r w:rsidRPr="00C531E3">
        <w:rPr>
          <w:rFonts w:ascii="Calibri" w:hAnsi="Calibri" w:cs="Calibri"/>
          <w:color w:val="000000"/>
        </w:rPr>
        <w:t xml:space="preserve"> Volume 122, November 2018, Pages 438-448</w:t>
      </w:r>
    </w:p>
    <w:p w14:paraId="6B16051D" w14:textId="77777777" w:rsidR="001253B7" w:rsidRPr="00C531E3" w:rsidRDefault="001253B7" w:rsidP="001253B7">
      <w:pPr>
        <w:autoSpaceDE w:val="0"/>
        <w:autoSpaceDN w:val="0"/>
        <w:adjustRightInd w:val="0"/>
        <w:spacing w:after="0" w:line="240" w:lineRule="auto"/>
        <w:rPr>
          <w:rFonts w:ascii="Calibri" w:hAnsi="Calibri" w:cs="Calibri"/>
          <w:color w:val="000000"/>
        </w:rPr>
      </w:pPr>
      <w:proofErr w:type="spellStart"/>
      <w:r w:rsidRPr="00C531E3">
        <w:rPr>
          <w:rFonts w:ascii="Calibri" w:hAnsi="Calibri" w:cs="Calibri"/>
          <w:color w:val="000000"/>
        </w:rPr>
        <w:t>Xunpeng</w:t>
      </w:r>
      <w:proofErr w:type="spellEnd"/>
      <w:r w:rsidRPr="00C531E3">
        <w:rPr>
          <w:rFonts w:ascii="Calibri" w:hAnsi="Calibri" w:cs="Calibri"/>
          <w:color w:val="000000"/>
        </w:rPr>
        <w:t xml:space="preserve"> Shi</w:t>
      </w:r>
      <w:bookmarkStart w:id="91" w:name="bau0010"/>
      <w:bookmarkEnd w:id="90"/>
      <w:r w:rsidRPr="00C531E3">
        <w:rPr>
          <w:rFonts w:ascii="Calibri" w:hAnsi="Calibri" w:cs="Calibri"/>
          <w:color w:val="000000"/>
        </w:rPr>
        <w:t xml:space="preserve">, Hari </w:t>
      </w:r>
      <w:proofErr w:type="spellStart"/>
      <w:r w:rsidRPr="00C531E3">
        <w:rPr>
          <w:rFonts w:ascii="Calibri" w:hAnsi="Calibri" w:cs="Calibri"/>
          <w:color w:val="000000"/>
        </w:rPr>
        <w:t>Malamakkavu</w:t>
      </w:r>
      <w:proofErr w:type="spellEnd"/>
      <w:r w:rsidRPr="00C531E3">
        <w:rPr>
          <w:rFonts w:ascii="Calibri" w:hAnsi="Calibri" w:cs="Calibri"/>
          <w:color w:val="000000"/>
        </w:rPr>
        <w:t xml:space="preserve">, </w:t>
      </w:r>
      <w:proofErr w:type="spellStart"/>
      <w:r w:rsidRPr="00C531E3">
        <w:rPr>
          <w:rFonts w:ascii="Calibri" w:hAnsi="Calibri" w:cs="Calibri"/>
          <w:color w:val="000000"/>
        </w:rPr>
        <w:t>Padinjare</w:t>
      </w:r>
      <w:proofErr w:type="spellEnd"/>
      <w:r w:rsidRPr="00C531E3">
        <w:rPr>
          <w:rFonts w:ascii="Calibri" w:hAnsi="Calibri" w:cs="Calibri"/>
          <w:color w:val="000000"/>
        </w:rPr>
        <w:t xml:space="preserve"> </w:t>
      </w:r>
      <w:proofErr w:type="spellStart"/>
      <w:r w:rsidRPr="00C531E3">
        <w:rPr>
          <w:rFonts w:ascii="Calibri" w:hAnsi="Calibri" w:cs="Calibri"/>
          <w:color w:val="000000"/>
        </w:rPr>
        <w:t>Variam</w:t>
      </w:r>
      <w:bookmarkEnd w:id="91"/>
      <w:proofErr w:type="spellEnd"/>
      <w:r w:rsidRPr="00C531E3">
        <w:rPr>
          <w:rFonts w:ascii="Calibri" w:hAnsi="Calibri" w:cs="Calibri"/>
          <w:color w:val="000000"/>
        </w:rPr>
        <w:t xml:space="preserve"> (2016). Gas and LNG trading hubs, hub indexation and destination flexibility in East Asia. </w:t>
      </w:r>
      <w:r w:rsidRPr="00C531E3">
        <w:rPr>
          <w:rFonts w:ascii="Calibri" w:hAnsi="Calibri" w:cs="Calibri"/>
          <w:i/>
          <w:color w:val="000000"/>
        </w:rPr>
        <w:t>Energy Policy</w:t>
      </w:r>
      <w:r w:rsidRPr="00C531E3">
        <w:rPr>
          <w:rFonts w:ascii="Calibri" w:hAnsi="Calibri" w:cs="Calibri"/>
          <w:color w:val="000000"/>
        </w:rPr>
        <w:t xml:space="preserve"> Volume 96, September 2016, Pages 587-596</w:t>
      </w:r>
    </w:p>
    <w:p w14:paraId="46CF1C7A" w14:textId="77777777" w:rsidR="001253B7" w:rsidRPr="00C531E3" w:rsidRDefault="001253B7" w:rsidP="001253B7">
      <w:pPr>
        <w:autoSpaceDE w:val="0"/>
        <w:autoSpaceDN w:val="0"/>
        <w:adjustRightInd w:val="0"/>
        <w:spacing w:after="0" w:line="240" w:lineRule="auto"/>
        <w:rPr>
          <w:rFonts w:ascii="Calibri" w:hAnsi="Calibri" w:cs="Calibri"/>
          <w:color w:val="000000"/>
        </w:rPr>
      </w:pPr>
      <w:bookmarkStart w:id="92" w:name="bau1"/>
      <w:r w:rsidRPr="00C531E3">
        <w:rPr>
          <w:rFonts w:ascii="Calibri" w:hAnsi="Calibri" w:cs="Calibri"/>
          <w:color w:val="000000"/>
        </w:rPr>
        <w:t xml:space="preserve">Zhen </w:t>
      </w:r>
      <w:proofErr w:type="spellStart"/>
      <w:r w:rsidRPr="00C531E3">
        <w:rPr>
          <w:rFonts w:ascii="Calibri" w:hAnsi="Calibri" w:cs="Calibri"/>
          <w:color w:val="000000"/>
        </w:rPr>
        <w:t>Wanga</w:t>
      </w:r>
      <w:bookmarkStart w:id="93" w:name="bau2"/>
      <w:bookmarkEnd w:id="92"/>
      <w:proofErr w:type="spellEnd"/>
      <w:r w:rsidRPr="00C531E3">
        <w:rPr>
          <w:rFonts w:ascii="Calibri" w:hAnsi="Calibri" w:cs="Calibri"/>
          <w:color w:val="000000"/>
        </w:rPr>
        <w:t xml:space="preserve">, Qing </w:t>
      </w:r>
      <w:proofErr w:type="spellStart"/>
      <w:r w:rsidRPr="00C531E3">
        <w:rPr>
          <w:rFonts w:ascii="Calibri" w:hAnsi="Calibri" w:cs="Calibri"/>
          <w:color w:val="000000"/>
        </w:rPr>
        <w:t>Xue</w:t>
      </w:r>
      <w:bookmarkEnd w:id="93"/>
      <w:proofErr w:type="spellEnd"/>
      <w:r w:rsidRPr="00C531E3">
        <w:rPr>
          <w:rFonts w:ascii="Calibri" w:hAnsi="Calibri" w:cs="Calibri"/>
          <w:color w:val="000000"/>
        </w:rPr>
        <w:t xml:space="preserve">. To fully exert the important role of natural gas in building a modern energy security system in China: An understanding of China's National l3th Five-Year Plan for Natural Gas Development </w:t>
      </w:r>
      <w:r w:rsidRPr="00C531E3">
        <w:rPr>
          <w:rFonts w:ascii="Calibri" w:hAnsi="Calibri" w:cs="Calibri"/>
          <w:i/>
          <w:color w:val="000000"/>
        </w:rPr>
        <w:t>Natural Gas Industry</w:t>
      </w:r>
      <w:r w:rsidRPr="00C531E3">
        <w:rPr>
          <w:rFonts w:ascii="Calibri" w:hAnsi="Calibri" w:cs="Calibri"/>
          <w:color w:val="000000"/>
        </w:rPr>
        <w:t>, Volume 4, Issue 4, July 2017, Pages 270-277</w:t>
      </w:r>
    </w:p>
    <w:p w14:paraId="0EE9F894" w14:textId="77777777" w:rsidR="00A272EF" w:rsidRPr="00C531E3" w:rsidRDefault="00A272EF" w:rsidP="00A272EF">
      <w:pPr>
        <w:autoSpaceDE w:val="0"/>
        <w:autoSpaceDN w:val="0"/>
        <w:adjustRightInd w:val="0"/>
        <w:spacing w:after="0" w:line="240" w:lineRule="auto"/>
        <w:rPr>
          <w:rFonts w:ascii="Calibri" w:hAnsi="Calibri" w:cs="Calibri"/>
          <w:color w:val="000000"/>
        </w:rPr>
      </w:pPr>
      <w:r w:rsidRPr="00C531E3">
        <w:rPr>
          <w:rFonts w:ascii="Calibri" w:hAnsi="Calibri" w:cs="Calibri"/>
          <w:color w:val="000000"/>
        </w:rPr>
        <w:t xml:space="preserve">Global Oil, Natural Gas FIDs </w:t>
      </w:r>
      <w:proofErr w:type="gramStart"/>
      <w:r w:rsidRPr="00C531E3">
        <w:rPr>
          <w:rFonts w:ascii="Calibri" w:hAnsi="Calibri" w:cs="Calibri"/>
          <w:color w:val="000000"/>
        </w:rPr>
        <w:t>On</w:t>
      </w:r>
      <w:proofErr w:type="gramEnd"/>
      <w:r w:rsidRPr="00C531E3">
        <w:rPr>
          <w:rFonts w:ascii="Calibri" w:hAnsi="Calibri" w:cs="Calibri"/>
          <w:color w:val="000000"/>
        </w:rPr>
        <w:t xml:space="preserve"> Fast Track Versus 2016, Says </w:t>
      </w:r>
      <w:proofErr w:type="spellStart"/>
      <w:r w:rsidRPr="00C531E3">
        <w:rPr>
          <w:rFonts w:ascii="Calibri" w:hAnsi="Calibri" w:cs="Calibri"/>
          <w:color w:val="000000"/>
        </w:rPr>
        <w:t>Rystad</w:t>
      </w:r>
      <w:proofErr w:type="spellEnd"/>
    </w:p>
    <w:p w14:paraId="343EDFEB" w14:textId="77777777" w:rsidR="00A272EF" w:rsidRPr="00C531E3" w:rsidRDefault="00A272EF" w:rsidP="00A272EF">
      <w:pPr>
        <w:autoSpaceDE w:val="0"/>
        <w:autoSpaceDN w:val="0"/>
        <w:adjustRightInd w:val="0"/>
        <w:spacing w:after="0" w:line="240" w:lineRule="auto"/>
        <w:rPr>
          <w:rFonts w:ascii="Calibri" w:hAnsi="Calibri" w:cs="Calibri"/>
          <w:color w:val="000000"/>
        </w:rPr>
      </w:pPr>
      <w:r w:rsidRPr="00C531E3">
        <w:rPr>
          <w:rFonts w:ascii="Calibri" w:hAnsi="Calibri" w:cs="Calibri"/>
          <w:color w:val="000000"/>
        </w:rPr>
        <w:t>https://www.naturalgasintel.com/articles/110663-global-oil-natural-gas-fids-on-fast-track-versus-2016-says-rystad</w:t>
      </w:r>
    </w:p>
    <w:p w14:paraId="6496299C" w14:textId="4B15711C" w:rsidR="00626AF3" w:rsidRDefault="00A272EF" w:rsidP="007573B1">
      <w:pPr>
        <w:autoSpaceDE w:val="0"/>
        <w:autoSpaceDN w:val="0"/>
        <w:adjustRightInd w:val="0"/>
        <w:spacing w:after="0" w:line="240" w:lineRule="auto"/>
        <w:rPr>
          <w:rFonts w:asciiTheme="majorHAnsi" w:hAnsiTheme="majorHAnsi" w:cstheme="majorHAnsi"/>
          <w:sz w:val="28"/>
          <w:szCs w:val="24"/>
        </w:rPr>
      </w:pPr>
      <w:r w:rsidRPr="00C531E3">
        <w:rPr>
          <w:rFonts w:ascii="Calibri" w:hAnsi="Calibri" w:cs="Calibri"/>
        </w:rPr>
        <w:t>Accessed on Feb 15</w:t>
      </w:r>
    </w:p>
    <w:p w14:paraId="067E2177" w14:textId="77777777" w:rsidR="00626AF3" w:rsidRDefault="00626AF3" w:rsidP="0044546E">
      <w:pPr>
        <w:rPr>
          <w:rFonts w:asciiTheme="majorHAnsi" w:hAnsiTheme="majorHAnsi" w:cstheme="majorHAnsi"/>
          <w:sz w:val="28"/>
          <w:szCs w:val="24"/>
        </w:rPr>
        <w:sectPr w:rsidR="00626AF3">
          <w:pgSz w:w="12240" w:h="15840"/>
          <w:pgMar w:top="1440" w:right="1440" w:bottom="1440" w:left="1440" w:header="720" w:footer="720" w:gutter="0"/>
          <w:cols w:space="720"/>
          <w:docGrid w:linePitch="360"/>
        </w:sectPr>
      </w:pPr>
    </w:p>
    <w:p w14:paraId="0AFB76E3" w14:textId="79F7A31A" w:rsidR="00F25CAA" w:rsidRDefault="00F25CAA" w:rsidP="0019089B">
      <w:pPr>
        <w:pStyle w:val="Heading1"/>
        <w:spacing w:after="240" w:line="276" w:lineRule="auto"/>
        <w:jc w:val="lowKashida"/>
        <w:rPr>
          <w:rFonts w:cs="Helvetica"/>
        </w:rPr>
      </w:pPr>
      <w:bookmarkStart w:id="94" w:name="_Toc535334366"/>
      <w:bookmarkStart w:id="95" w:name="_Toc1561789"/>
      <w:bookmarkStart w:id="96" w:name="_Toc1561842"/>
      <w:bookmarkStart w:id="97" w:name="_Toc1561972"/>
      <w:bookmarkStart w:id="98" w:name="_Toc1661463"/>
      <w:r>
        <w:rPr>
          <w:rFonts w:cs="Helvetica"/>
        </w:rPr>
        <w:lastRenderedPageBreak/>
        <w:t>Annex</w:t>
      </w:r>
      <w:bookmarkEnd w:id="94"/>
      <w:bookmarkEnd w:id="95"/>
      <w:bookmarkEnd w:id="96"/>
      <w:bookmarkEnd w:id="97"/>
      <w:bookmarkEnd w:id="98"/>
    </w:p>
    <w:p w14:paraId="6C0CA8BF" w14:textId="77777777" w:rsidR="00F25CAA" w:rsidRPr="007B3DFD" w:rsidRDefault="00F25CAA" w:rsidP="00F25CAA">
      <w:pPr>
        <w:jc w:val="center"/>
        <w:rPr>
          <w:rFonts w:ascii="Helvetica" w:hAnsi="Helvetica" w:cs="Helvetica"/>
          <w:b/>
          <w:bCs/>
        </w:rPr>
      </w:pPr>
      <w:r w:rsidRPr="007B3DFD">
        <w:rPr>
          <w:rFonts w:ascii="Helvetica" w:hAnsi="Helvetica" w:cs="Helvetica"/>
          <w:b/>
          <w:bCs/>
        </w:rPr>
        <w:t>Abbreviations and Acronyms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5907"/>
      </w:tblGrid>
      <w:tr w:rsidR="00F25CAA" w:rsidRPr="0030539F" w14:paraId="6508F412" w14:textId="77777777" w:rsidTr="002714D1">
        <w:trPr>
          <w:trHeight w:val="397"/>
          <w:jc w:val="center"/>
        </w:trPr>
        <w:tc>
          <w:tcPr>
            <w:tcW w:w="0" w:type="auto"/>
            <w:vAlign w:val="center"/>
          </w:tcPr>
          <w:p w14:paraId="3CB28FC3" w14:textId="77777777" w:rsidR="00F25CAA" w:rsidRPr="0030539F" w:rsidRDefault="00F25CAA" w:rsidP="002714D1">
            <w:pPr>
              <w:spacing w:line="259" w:lineRule="auto"/>
              <w:rPr>
                <w:bCs/>
              </w:rPr>
            </w:pPr>
            <w:r>
              <w:rPr>
                <w:bCs/>
              </w:rPr>
              <w:t>GECF</w:t>
            </w:r>
          </w:p>
        </w:tc>
        <w:tc>
          <w:tcPr>
            <w:tcW w:w="0" w:type="auto"/>
            <w:vAlign w:val="center"/>
          </w:tcPr>
          <w:p w14:paraId="294206BB" w14:textId="77777777" w:rsidR="00F25CAA" w:rsidRPr="0030539F" w:rsidRDefault="00F25CAA" w:rsidP="002714D1">
            <w:pPr>
              <w:spacing w:line="259" w:lineRule="auto"/>
              <w:rPr>
                <w:bCs/>
              </w:rPr>
            </w:pPr>
            <w:r>
              <w:rPr>
                <w:bCs/>
              </w:rPr>
              <w:t>Gas Exporting Countries Forum</w:t>
            </w:r>
          </w:p>
        </w:tc>
      </w:tr>
      <w:tr w:rsidR="00F25CAA" w:rsidRPr="0030539F" w14:paraId="190FBAEC" w14:textId="77777777" w:rsidTr="002714D1">
        <w:trPr>
          <w:trHeight w:val="397"/>
          <w:jc w:val="center"/>
        </w:trPr>
        <w:tc>
          <w:tcPr>
            <w:tcW w:w="0" w:type="auto"/>
            <w:vAlign w:val="center"/>
          </w:tcPr>
          <w:p w14:paraId="238842F6" w14:textId="77777777" w:rsidR="00F25CAA" w:rsidRPr="0030539F" w:rsidRDefault="00F25CAA" w:rsidP="002714D1">
            <w:pPr>
              <w:spacing w:line="259" w:lineRule="auto"/>
              <w:rPr>
                <w:bCs/>
              </w:rPr>
            </w:pPr>
            <w:r>
              <w:rPr>
                <w:bCs/>
              </w:rPr>
              <w:t>OPEC</w:t>
            </w:r>
          </w:p>
        </w:tc>
        <w:tc>
          <w:tcPr>
            <w:tcW w:w="0" w:type="auto"/>
            <w:vAlign w:val="center"/>
          </w:tcPr>
          <w:p w14:paraId="3D7DAAD6" w14:textId="77777777" w:rsidR="00F25CAA" w:rsidRPr="0030539F" w:rsidRDefault="00F25CAA" w:rsidP="002714D1">
            <w:pPr>
              <w:spacing w:line="259" w:lineRule="auto"/>
              <w:rPr>
                <w:bCs/>
              </w:rPr>
            </w:pPr>
            <w:r>
              <w:rPr>
                <w:bCs/>
              </w:rPr>
              <w:t>Organization Of Petroleum Exporting Countries</w:t>
            </w:r>
          </w:p>
        </w:tc>
      </w:tr>
      <w:tr w:rsidR="00F25CAA" w:rsidRPr="0030539F" w14:paraId="6BF6CB9A" w14:textId="77777777" w:rsidTr="002714D1">
        <w:trPr>
          <w:trHeight w:val="397"/>
          <w:jc w:val="center"/>
        </w:trPr>
        <w:tc>
          <w:tcPr>
            <w:tcW w:w="0" w:type="auto"/>
            <w:vAlign w:val="center"/>
          </w:tcPr>
          <w:p w14:paraId="0B82A7C9" w14:textId="77777777" w:rsidR="00F25CAA" w:rsidRPr="0030539F" w:rsidRDefault="00F25CAA" w:rsidP="002714D1">
            <w:pPr>
              <w:spacing w:line="259" w:lineRule="auto"/>
              <w:rPr>
                <w:bCs/>
              </w:rPr>
            </w:pPr>
            <w:r>
              <w:rPr>
                <w:bCs/>
              </w:rPr>
              <w:t>IEA</w:t>
            </w:r>
          </w:p>
        </w:tc>
        <w:tc>
          <w:tcPr>
            <w:tcW w:w="0" w:type="auto"/>
            <w:vAlign w:val="center"/>
          </w:tcPr>
          <w:p w14:paraId="2E6B7867" w14:textId="77777777" w:rsidR="00F25CAA" w:rsidRPr="0030539F" w:rsidRDefault="00F25CAA" w:rsidP="002714D1">
            <w:pPr>
              <w:spacing w:line="259" w:lineRule="auto"/>
              <w:rPr>
                <w:bCs/>
              </w:rPr>
            </w:pPr>
            <w:r>
              <w:rPr>
                <w:bCs/>
              </w:rPr>
              <w:t xml:space="preserve">International Energy Agency </w:t>
            </w:r>
          </w:p>
        </w:tc>
      </w:tr>
      <w:tr w:rsidR="00F25CAA" w:rsidRPr="0030539F" w14:paraId="5A3D873C" w14:textId="77777777" w:rsidTr="002714D1">
        <w:trPr>
          <w:trHeight w:val="397"/>
          <w:jc w:val="center"/>
        </w:trPr>
        <w:tc>
          <w:tcPr>
            <w:tcW w:w="0" w:type="auto"/>
            <w:vAlign w:val="center"/>
          </w:tcPr>
          <w:p w14:paraId="75EDB805" w14:textId="77777777" w:rsidR="00F25CAA" w:rsidRPr="0030539F" w:rsidRDefault="00F25CAA" w:rsidP="002714D1">
            <w:pPr>
              <w:spacing w:line="259" w:lineRule="auto"/>
              <w:rPr>
                <w:bCs/>
              </w:rPr>
            </w:pPr>
            <w:r>
              <w:rPr>
                <w:bCs/>
              </w:rPr>
              <w:t>RCS</w:t>
            </w:r>
          </w:p>
        </w:tc>
        <w:tc>
          <w:tcPr>
            <w:tcW w:w="0" w:type="auto"/>
            <w:vAlign w:val="center"/>
          </w:tcPr>
          <w:p w14:paraId="3BB9995E" w14:textId="77777777" w:rsidR="00F25CAA" w:rsidRPr="0030539F" w:rsidRDefault="00F25CAA" w:rsidP="002714D1">
            <w:pPr>
              <w:spacing w:line="259" w:lineRule="auto"/>
              <w:rPr>
                <w:bCs/>
              </w:rPr>
            </w:pPr>
            <w:r>
              <w:rPr>
                <w:bCs/>
              </w:rPr>
              <w:t>Reference Case Scenario</w:t>
            </w:r>
          </w:p>
        </w:tc>
      </w:tr>
      <w:tr w:rsidR="00F25CAA" w:rsidRPr="0030539F" w14:paraId="04BEE2A1" w14:textId="77777777" w:rsidTr="002714D1">
        <w:trPr>
          <w:trHeight w:val="397"/>
          <w:jc w:val="center"/>
        </w:trPr>
        <w:tc>
          <w:tcPr>
            <w:tcW w:w="0" w:type="auto"/>
            <w:vAlign w:val="center"/>
          </w:tcPr>
          <w:p w14:paraId="0579EBB5" w14:textId="77777777" w:rsidR="00F25CAA" w:rsidRPr="0030539F" w:rsidRDefault="00F25CAA" w:rsidP="002714D1">
            <w:pPr>
              <w:spacing w:line="259" w:lineRule="auto"/>
              <w:rPr>
                <w:bCs/>
              </w:rPr>
            </w:pPr>
            <w:r>
              <w:rPr>
                <w:bCs/>
              </w:rPr>
              <w:t>CMS</w:t>
            </w:r>
          </w:p>
        </w:tc>
        <w:tc>
          <w:tcPr>
            <w:tcW w:w="0" w:type="auto"/>
            <w:vAlign w:val="center"/>
          </w:tcPr>
          <w:p w14:paraId="3154293D" w14:textId="77777777" w:rsidR="00F25CAA" w:rsidRPr="0030539F" w:rsidRDefault="00F25CAA" w:rsidP="002714D1">
            <w:pPr>
              <w:spacing w:line="259" w:lineRule="auto"/>
              <w:rPr>
                <w:bCs/>
              </w:rPr>
            </w:pPr>
            <w:r>
              <w:rPr>
                <w:bCs/>
              </w:rPr>
              <w:t>Carbon Mitigation Scenario (GECF)</w:t>
            </w:r>
          </w:p>
        </w:tc>
      </w:tr>
      <w:tr w:rsidR="00F25CAA" w:rsidRPr="0030539F" w14:paraId="17C21997" w14:textId="77777777" w:rsidTr="002714D1">
        <w:trPr>
          <w:trHeight w:val="397"/>
          <w:jc w:val="center"/>
        </w:trPr>
        <w:tc>
          <w:tcPr>
            <w:tcW w:w="0" w:type="auto"/>
            <w:vAlign w:val="center"/>
          </w:tcPr>
          <w:p w14:paraId="2A08E952" w14:textId="77777777" w:rsidR="00F25CAA" w:rsidRPr="0030539F" w:rsidRDefault="00F25CAA" w:rsidP="002714D1">
            <w:pPr>
              <w:spacing w:line="259" w:lineRule="auto"/>
              <w:rPr>
                <w:bCs/>
              </w:rPr>
            </w:pPr>
            <w:r>
              <w:rPr>
                <w:bCs/>
              </w:rPr>
              <w:t>TAS</w:t>
            </w:r>
          </w:p>
        </w:tc>
        <w:tc>
          <w:tcPr>
            <w:tcW w:w="0" w:type="auto"/>
            <w:vAlign w:val="center"/>
          </w:tcPr>
          <w:p w14:paraId="32EBB66C" w14:textId="77777777" w:rsidR="00F25CAA" w:rsidRPr="0030539F" w:rsidRDefault="00F25CAA" w:rsidP="002714D1">
            <w:pPr>
              <w:spacing w:line="259" w:lineRule="auto"/>
              <w:rPr>
                <w:bCs/>
              </w:rPr>
            </w:pPr>
            <w:r>
              <w:rPr>
                <w:bCs/>
              </w:rPr>
              <w:t>Technology Advancement Scenario (GECF)</w:t>
            </w:r>
          </w:p>
        </w:tc>
      </w:tr>
      <w:tr w:rsidR="00F25CAA" w:rsidRPr="0030539F" w14:paraId="427F7279" w14:textId="77777777" w:rsidTr="002714D1">
        <w:trPr>
          <w:trHeight w:val="397"/>
          <w:jc w:val="center"/>
        </w:trPr>
        <w:tc>
          <w:tcPr>
            <w:tcW w:w="0" w:type="auto"/>
            <w:vAlign w:val="center"/>
          </w:tcPr>
          <w:p w14:paraId="0C5C6CDB" w14:textId="77777777" w:rsidR="00F25CAA" w:rsidRPr="0030539F" w:rsidRDefault="00F25CAA" w:rsidP="002714D1">
            <w:pPr>
              <w:spacing w:line="259" w:lineRule="auto"/>
              <w:rPr>
                <w:bCs/>
              </w:rPr>
            </w:pPr>
            <w:r>
              <w:rPr>
                <w:bCs/>
              </w:rPr>
              <w:t>NPS</w:t>
            </w:r>
          </w:p>
        </w:tc>
        <w:tc>
          <w:tcPr>
            <w:tcW w:w="0" w:type="auto"/>
            <w:vAlign w:val="center"/>
          </w:tcPr>
          <w:p w14:paraId="50C8CD79" w14:textId="77777777" w:rsidR="00F25CAA" w:rsidRPr="0030539F" w:rsidRDefault="00F25CAA" w:rsidP="002714D1">
            <w:pPr>
              <w:spacing w:line="259" w:lineRule="auto"/>
              <w:rPr>
                <w:bCs/>
              </w:rPr>
            </w:pPr>
            <w:r>
              <w:rPr>
                <w:bCs/>
              </w:rPr>
              <w:t>New Policies Scenario (IEA)</w:t>
            </w:r>
          </w:p>
        </w:tc>
      </w:tr>
      <w:tr w:rsidR="00F25CAA" w:rsidRPr="0030539F" w14:paraId="23D02D4D" w14:textId="77777777" w:rsidTr="002714D1">
        <w:trPr>
          <w:trHeight w:val="397"/>
          <w:jc w:val="center"/>
        </w:trPr>
        <w:tc>
          <w:tcPr>
            <w:tcW w:w="0" w:type="auto"/>
            <w:vAlign w:val="center"/>
          </w:tcPr>
          <w:p w14:paraId="2E576BCB" w14:textId="77777777" w:rsidR="00F25CAA" w:rsidRPr="0030539F" w:rsidRDefault="00F25CAA" w:rsidP="002714D1">
            <w:pPr>
              <w:spacing w:line="259" w:lineRule="auto"/>
              <w:rPr>
                <w:bCs/>
              </w:rPr>
            </w:pPr>
            <w:r>
              <w:rPr>
                <w:bCs/>
              </w:rPr>
              <w:t>SDS</w:t>
            </w:r>
          </w:p>
        </w:tc>
        <w:tc>
          <w:tcPr>
            <w:tcW w:w="0" w:type="auto"/>
            <w:vAlign w:val="center"/>
          </w:tcPr>
          <w:p w14:paraId="6ACF0A6F" w14:textId="77777777" w:rsidR="00F25CAA" w:rsidRPr="0030539F" w:rsidRDefault="00F25CAA" w:rsidP="002714D1">
            <w:pPr>
              <w:spacing w:line="259" w:lineRule="auto"/>
              <w:rPr>
                <w:bCs/>
              </w:rPr>
            </w:pPr>
            <w:r>
              <w:rPr>
                <w:bCs/>
              </w:rPr>
              <w:t>Sustainable Development Scenario (SDS)</w:t>
            </w:r>
          </w:p>
        </w:tc>
      </w:tr>
      <w:tr w:rsidR="00F25CAA" w:rsidRPr="0030539F" w14:paraId="7DEA5544" w14:textId="77777777" w:rsidTr="002714D1">
        <w:trPr>
          <w:trHeight w:val="397"/>
          <w:jc w:val="center"/>
        </w:trPr>
        <w:tc>
          <w:tcPr>
            <w:tcW w:w="0" w:type="auto"/>
            <w:vAlign w:val="center"/>
          </w:tcPr>
          <w:p w14:paraId="0466A8E2" w14:textId="77777777" w:rsidR="00F25CAA" w:rsidRPr="0030539F" w:rsidRDefault="00F25CAA" w:rsidP="002714D1">
            <w:pPr>
              <w:spacing w:line="259" w:lineRule="auto"/>
              <w:rPr>
                <w:bCs/>
              </w:rPr>
            </w:pPr>
            <w:r>
              <w:rPr>
                <w:bCs/>
              </w:rPr>
              <w:t>IEF</w:t>
            </w:r>
          </w:p>
        </w:tc>
        <w:tc>
          <w:tcPr>
            <w:tcW w:w="0" w:type="auto"/>
            <w:vAlign w:val="center"/>
          </w:tcPr>
          <w:p w14:paraId="7169ABA2" w14:textId="77777777" w:rsidR="00F25CAA" w:rsidRPr="0030539F" w:rsidRDefault="00F25CAA" w:rsidP="002714D1">
            <w:pPr>
              <w:spacing w:line="259" w:lineRule="auto"/>
              <w:rPr>
                <w:bCs/>
              </w:rPr>
            </w:pPr>
            <w:r>
              <w:rPr>
                <w:bCs/>
              </w:rPr>
              <w:t xml:space="preserve">International Energy Forum </w:t>
            </w:r>
          </w:p>
        </w:tc>
      </w:tr>
      <w:tr w:rsidR="00F25CAA" w:rsidRPr="0030539F" w14:paraId="3C894637" w14:textId="77777777" w:rsidTr="002714D1">
        <w:trPr>
          <w:trHeight w:val="397"/>
          <w:jc w:val="center"/>
        </w:trPr>
        <w:tc>
          <w:tcPr>
            <w:tcW w:w="0" w:type="auto"/>
            <w:vAlign w:val="center"/>
          </w:tcPr>
          <w:p w14:paraId="21D615CE" w14:textId="77777777" w:rsidR="00F25CAA" w:rsidRPr="0030539F" w:rsidRDefault="00F25CAA" w:rsidP="002714D1">
            <w:pPr>
              <w:spacing w:line="259" w:lineRule="auto"/>
              <w:rPr>
                <w:bCs/>
              </w:rPr>
            </w:pPr>
            <w:r>
              <w:rPr>
                <w:bCs/>
              </w:rPr>
              <w:t>MENA</w:t>
            </w:r>
          </w:p>
        </w:tc>
        <w:tc>
          <w:tcPr>
            <w:tcW w:w="0" w:type="auto"/>
            <w:vAlign w:val="center"/>
          </w:tcPr>
          <w:p w14:paraId="2D0F3C4E" w14:textId="77777777" w:rsidR="00F25CAA" w:rsidRPr="0030539F" w:rsidRDefault="00F25CAA" w:rsidP="002714D1">
            <w:pPr>
              <w:spacing w:line="259" w:lineRule="auto"/>
              <w:rPr>
                <w:bCs/>
              </w:rPr>
            </w:pPr>
            <w:r>
              <w:rPr>
                <w:bCs/>
              </w:rPr>
              <w:t>Middle East and North Africa</w:t>
            </w:r>
          </w:p>
        </w:tc>
      </w:tr>
      <w:tr w:rsidR="00F25CAA" w:rsidRPr="0030539F" w14:paraId="34C7574A" w14:textId="77777777" w:rsidTr="002714D1">
        <w:trPr>
          <w:trHeight w:val="397"/>
          <w:jc w:val="center"/>
        </w:trPr>
        <w:tc>
          <w:tcPr>
            <w:tcW w:w="0" w:type="auto"/>
            <w:vAlign w:val="center"/>
          </w:tcPr>
          <w:p w14:paraId="79578990" w14:textId="77777777" w:rsidR="00F25CAA" w:rsidRPr="0030539F" w:rsidRDefault="00F25CAA" w:rsidP="002714D1">
            <w:pPr>
              <w:spacing w:line="259" w:lineRule="auto"/>
              <w:rPr>
                <w:bCs/>
              </w:rPr>
            </w:pPr>
            <w:r>
              <w:rPr>
                <w:bCs/>
              </w:rPr>
              <w:t>OECD</w:t>
            </w:r>
          </w:p>
        </w:tc>
        <w:tc>
          <w:tcPr>
            <w:tcW w:w="0" w:type="auto"/>
            <w:vAlign w:val="center"/>
          </w:tcPr>
          <w:p w14:paraId="2E45547F" w14:textId="77777777" w:rsidR="00F25CAA" w:rsidRPr="0030539F" w:rsidRDefault="00F25CAA" w:rsidP="002714D1">
            <w:pPr>
              <w:spacing w:line="259" w:lineRule="auto"/>
              <w:rPr>
                <w:bCs/>
              </w:rPr>
            </w:pPr>
            <w:proofErr w:type="spellStart"/>
            <w:r w:rsidRPr="005D522C">
              <w:rPr>
                <w:bCs/>
              </w:rPr>
              <w:t>Organisation</w:t>
            </w:r>
            <w:proofErr w:type="spellEnd"/>
            <w:r w:rsidRPr="005D522C">
              <w:rPr>
                <w:bCs/>
              </w:rPr>
              <w:t xml:space="preserve"> </w:t>
            </w:r>
            <w:r>
              <w:rPr>
                <w:bCs/>
              </w:rPr>
              <w:t>f</w:t>
            </w:r>
            <w:r w:rsidRPr="005D522C">
              <w:rPr>
                <w:bCs/>
              </w:rPr>
              <w:t xml:space="preserve">or Economic Co-Operation </w:t>
            </w:r>
            <w:r>
              <w:rPr>
                <w:bCs/>
              </w:rPr>
              <w:t>a</w:t>
            </w:r>
            <w:r w:rsidRPr="005D522C">
              <w:rPr>
                <w:bCs/>
              </w:rPr>
              <w:t>nd Development</w:t>
            </w:r>
          </w:p>
        </w:tc>
      </w:tr>
      <w:tr w:rsidR="00F25CAA" w:rsidRPr="0030539F" w14:paraId="645E21BD" w14:textId="77777777" w:rsidTr="002714D1">
        <w:trPr>
          <w:trHeight w:val="397"/>
          <w:jc w:val="center"/>
        </w:trPr>
        <w:tc>
          <w:tcPr>
            <w:tcW w:w="0" w:type="auto"/>
            <w:vAlign w:val="center"/>
          </w:tcPr>
          <w:p w14:paraId="5E6C92D7" w14:textId="77777777" w:rsidR="00F25CAA" w:rsidRPr="0030539F" w:rsidRDefault="00F25CAA" w:rsidP="002714D1">
            <w:pPr>
              <w:spacing w:line="259" w:lineRule="auto"/>
              <w:rPr>
                <w:bCs/>
              </w:rPr>
            </w:pPr>
            <w:r>
              <w:rPr>
                <w:bCs/>
              </w:rPr>
              <w:t>GDP</w:t>
            </w:r>
          </w:p>
        </w:tc>
        <w:tc>
          <w:tcPr>
            <w:tcW w:w="0" w:type="auto"/>
            <w:vAlign w:val="center"/>
          </w:tcPr>
          <w:p w14:paraId="064A1D99" w14:textId="77777777" w:rsidR="00F25CAA" w:rsidRPr="0030539F" w:rsidRDefault="00F25CAA" w:rsidP="002714D1">
            <w:pPr>
              <w:spacing w:line="259" w:lineRule="auto"/>
              <w:rPr>
                <w:bCs/>
              </w:rPr>
            </w:pPr>
            <w:r>
              <w:rPr>
                <w:bCs/>
              </w:rPr>
              <w:t>Gross Domestic Product</w:t>
            </w:r>
          </w:p>
        </w:tc>
      </w:tr>
      <w:tr w:rsidR="00F25CAA" w:rsidRPr="0030539F" w14:paraId="4D25FF63" w14:textId="77777777" w:rsidTr="002714D1">
        <w:trPr>
          <w:trHeight w:val="397"/>
          <w:jc w:val="center"/>
        </w:trPr>
        <w:tc>
          <w:tcPr>
            <w:tcW w:w="0" w:type="auto"/>
            <w:vAlign w:val="center"/>
          </w:tcPr>
          <w:p w14:paraId="0A41417B" w14:textId="77777777" w:rsidR="00F25CAA" w:rsidRPr="0030539F" w:rsidRDefault="00F25CAA" w:rsidP="002714D1">
            <w:pPr>
              <w:spacing w:line="259" w:lineRule="auto"/>
              <w:rPr>
                <w:bCs/>
              </w:rPr>
            </w:pPr>
            <w:r>
              <w:rPr>
                <w:bCs/>
              </w:rPr>
              <w:t>GGM</w:t>
            </w:r>
          </w:p>
        </w:tc>
        <w:tc>
          <w:tcPr>
            <w:tcW w:w="0" w:type="auto"/>
            <w:vAlign w:val="center"/>
          </w:tcPr>
          <w:p w14:paraId="0479BBCB" w14:textId="77777777" w:rsidR="00F25CAA" w:rsidRPr="0030539F" w:rsidRDefault="00F25CAA" w:rsidP="002714D1">
            <w:pPr>
              <w:spacing w:line="259" w:lineRule="auto"/>
              <w:rPr>
                <w:bCs/>
              </w:rPr>
            </w:pPr>
            <w:r>
              <w:rPr>
                <w:bCs/>
              </w:rPr>
              <w:t>Global Gas Model (GECF)</w:t>
            </w:r>
          </w:p>
        </w:tc>
      </w:tr>
      <w:tr w:rsidR="00F25CAA" w:rsidRPr="0030539F" w14:paraId="6AFD0290" w14:textId="77777777" w:rsidTr="002714D1">
        <w:trPr>
          <w:trHeight w:val="397"/>
          <w:jc w:val="center"/>
        </w:trPr>
        <w:tc>
          <w:tcPr>
            <w:tcW w:w="0" w:type="auto"/>
            <w:vAlign w:val="center"/>
          </w:tcPr>
          <w:p w14:paraId="45C34BFC" w14:textId="77777777" w:rsidR="00F25CAA" w:rsidRPr="0030539F" w:rsidRDefault="00F25CAA" w:rsidP="002714D1">
            <w:pPr>
              <w:spacing w:line="259" w:lineRule="auto"/>
              <w:rPr>
                <w:bCs/>
              </w:rPr>
            </w:pPr>
            <w:r>
              <w:rPr>
                <w:bCs/>
              </w:rPr>
              <w:t>UN</w:t>
            </w:r>
          </w:p>
        </w:tc>
        <w:tc>
          <w:tcPr>
            <w:tcW w:w="0" w:type="auto"/>
            <w:vAlign w:val="center"/>
          </w:tcPr>
          <w:p w14:paraId="7046E646" w14:textId="77777777" w:rsidR="00F25CAA" w:rsidRPr="0030539F" w:rsidRDefault="00F25CAA" w:rsidP="002714D1">
            <w:pPr>
              <w:spacing w:line="259" w:lineRule="auto"/>
              <w:rPr>
                <w:bCs/>
              </w:rPr>
            </w:pPr>
            <w:r>
              <w:rPr>
                <w:bCs/>
              </w:rPr>
              <w:t>United Nations</w:t>
            </w:r>
          </w:p>
        </w:tc>
      </w:tr>
      <w:tr w:rsidR="00F25CAA" w:rsidRPr="0030539F" w14:paraId="1A38D0E2" w14:textId="77777777" w:rsidTr="002714D1">
        <w:trPr>
          <w:trHeight w:val="397"/>
          <w:jc w:val="center"/>
        </w:trPr>
        <w:tc>
          <w:tcPr>
            <w:tcW w:w="0" w:type="auto"/>
            <w:vAlign w:val="center"/>
          </w:tcPr>
          <w:p w14:paraId="07584753" w14:textId="77777777" w:rsidR="00F25CAA" w:rsidRPr="0030539F" w:rsidRDefault="00F25CAA" w:rsidP="002714D1">
            <w:pPr>
              <w:spacing w:line="259" w:lineRule="auto"/>
              <w:rPr>
                <w:bCs/>
              </w:rPr>
            </w:pPr>
            <w:r>
              <w:rPr>
                <w:bCs/>
              </w:rPr>
              <w:t>IMP</w:t>
            </w:r>
          </w:p>
        </w:tc>
        <w:tc>
          <w:tcPr>
            <w:tcW w:w="0" w:type="auto"/>
            <w:vAlign w:val="center"/>
          </w:tcPr>
          <w:p w14:paraId="60B4FC1D" w14:textId="77777777" w:rsidR="00F25CAA" w:rsidRPr="0030539F" w:rsidRDefault="00F25CAA" w:rsidP="002714D1">
            <w:pPr>
              <w:spacing w:line="259" w:lineRule="auto"/>
              <w:rPr>
                <w:bCs/>
              </w:rPr>
            </w:pPr>
            <w:r>
              <w:rPr>
                <w:bCs/>
              </w:rPr>
              <w:t>International Monetary Fund</w:t>
            </w:r>
          </w:p>
        </w:tc>
      </w:tr>
      <w:tr w:rsidR="00F25CAA" w:rsidRPr="0030539F" w14:paraId="45C5558F" w14:textId="77777777" w:rsidTr="002714D1">
        <w:trPr>
          <w:trHeight w:val="397"/>
          <w:jc w:val="center"/>
        </w:trPr>
        <w:tc>
          <w:tcPr>
            <w:tcW w:w="0" w:type="auto"/>
            <w:vAlign w:val="center"/>
          </w:tcPr>
          <w:p w14:paraId="10B23A9B" w14:textId="77777777" w:rsidR="00F25CAA" w:rsidRPr="0030539F" w:rsidRDefault="00F25CAA" w:rsidP="002714D1">
            <w:pPr>
              <w:spacing w:line="259" w:lineRule="auto"/>
              <w:rPr>
                <w:bCs/>
              </w:rPr>
            </w:pPr>
            <w:r>
              <w:rPr>
                <w:bCs/>
              </w:rPr>
              <w:t>GGO</w:t>
            </w:r>
          </w:p>
        </w:tc>
        <w:tc>
          <w:tcPr>
            <w:tcW w:w="0" w:type="auto"/>
            <w:vAlign w:val="center"/>
          </w:tcPr>
          <w:p w14:paraId="207F113F" w14:textId="77777777" w:rsidR="00F25CAA" w:rsidRPr="0030539F" w:rsidRDefault="00F25CAA" w:rsidP="002714D1">
            <w:pPr>
              <w:spacing w:line="259" w:lineRule="auto"/>
              <w:rPr>
                <w:bCs/>
              </w:rPr>
            </w:pPr>
            <w:r>
              <w:rPr>
                <w:bCs/>
              </w:rPr>
              <w:t>Global Gas Outlook (GGO)</w:t>
            </w:r>
          </w:p>
        </w:tc>
      </w:tr>
      <w:tr w:rsidR="00F25CAA" w:rsidRPr="0030539F" w14:paraId="7EF105C5" w14:textId="77777777" w:rsidTr="002714D1">
        <w:trPr>
          <w:trHeight w:val="397"/>
          <w:jc w:val="center"/>
        </w:trPr>
        <w:tc>
          <w:tcPr>
            <w:tcW w:w="0" w:type="auto"/>
            <w:vAlign w:val="center"/>
          </w:tcPr>
          <w:p w14:paraId="3E702737" w14:textId="77777777" w:rsidR="00F25CAA" w:rsidRPr="0030539F" w:rsidRDefault="00F25CAA" w:rsidP="002714D1">
            <w:pPr>
              <w:spacing w:line="259" w:lineRule="auto"/>
              <w:rPr>
                <w:bCs/>
              </w:rPr>
            </w:pPr>
            <w:r>
              <w:rPr>
                <w:bCs/>
              </w:rPr>
              <w:t>EU ETS</w:t>
            </w:r>
          </w:p>
        </w:tc>
        <w:tc>
          <w:tcPr>
            <w:tcW w:w="0" w:type="auto"/>
            <w:vAlign w:val="center"/>
          </w:tcPr>
          <w:p w14:paraId="6F9D41C5" w14:textId="77777777" w:rsidR="00F25CAA" w:rsidRPr="0030539F" w:rsidRDefault="00F25CAA" w:rsidP="002714D1">
            <w:pPr>
              <w:spacing w:line="259" w:lineRule="auto"/>
              <w:rPr>
                <w:bCs/>
              </w:rPr>
            </w:pPr>
            <w:r>
              <w:rPr>
                <w:bCs/>
              </w:rPr>
              <w:t>European Union Emissions Trading System</w:t>
            </w:r>
          </w:p>
        </w:tc>
      </w:tr>
      <w:tr w:rsidR="00F25CAA" w:rsidRPr="0030539F" w14:paraId="1C1172ED" w14:textId="77777777" w:rsidTr="002714D1">
        <w:trPr>
          <w:trHeight w:val="397"/>
          <w:jc w:val="center"/>
        </w:trPr>
        <w:tc>
          <w:tcPr>
            <w:tcW w:w="0" w:type="auto"/>
            <w:vAlign w:val="center"/>
          </w:tcPr>
          <w:p w14:paraId="7F774349" w14:textId="77777777" w:rsidR="00F25CAA" w:rsidRPr="0030539F" w:rsidRDefault="00F25CAA" w:rsidP="002714D1">
            <w:pPr>
              <w:spacing w:line="259" w:lineRule="auto"/>
              <w:rPr>
                <w:bCs/>
              </w:rPr>
            </w:pPr>
            <w:r>
              <w:rPr>
                <w:bCs/>
              </w:rPr>
              <w:t>CAAGR</w:t>
            </w:r>
          </w:p>
        </w:tc>
        <w:tc>
          <w:tcPr>
            <w:tcW w:w="0" w:type="auto"/>
            <w:vAlign w:val="center"/>
          </w:tcPr>
          <w:p w14:paraId="1D5D36F1" w14:textId="77777777" w:rsidR="00F25CAA" w:rsidRPr="0030539F" w:rsidRDefault="00F25CAA" w:rsidP="002714D1">
            <w:pPr>
              <w:spacing w:line="259" w:lineRule="auto"/>
              <w:rPr>
                <w:bCs/>
              </w:rPr>
            </w:pPr>
            <w:r>
              <w:rPr>
                <w:bCs/>
              </w:rPr>
              <w:t xml:space="preserve">Compound Average Annual Growth Rate </w:t>
            </w:r>
          </w:p>
        </w:tc>
      </w:tr>
      <w:tr w:rsidR="00F25CAA" w:rsidRPr="0030539F" w14:paraId="03872949" w14:textId="77777777" w:rsidTr="002714D1">
        <w:trPr>
          <w:trHeight w:val="397"/>
          <w:jc w:val="center"/>
        </w:trPr>
        <w:tc>
          <w:tcPr>
            <w:tcW w:w="0" w:type="auto"/>
            <w:vAlign w:val="center"/>
          </w:tcPr>
          <w:p w14:paraId="6472AA7D" w14:textId="77777777" w:rsidR="00F25CAA" w:rsidRPr="0030539F" w:rsidRDefault="00F25CAA" w:rsidP="002714D1">
            <w:pPr>
              <w:spacing w:line="259" w:lineRule="auto"/>
              <w:rPr>
                <w:bCs/>
              </w:rPr>
            </w:pPr>
            <w:r>
              <w:rPr>
                <w:bCs/>
              </w:rPr>
              <w:t>WEO</w:t>
            </w:r>
          </w:p>
        </w:tc>
        <w:tc>
          <w:tcPr>
            <w:tcW w:w="0" w:type="auto"/>
            <w:vAlign w:val="center"/>
          </w:tcPr>
          <w:p w14:paraId="1E0366B0" w14:textId="77777777" w:rsidR="00F25CAA" w:rsidRPr="0030539F" w:rsidRDefault="00F25CAA" w:rsidP="002714D1">
            <w:pPr>
              <w:spacing w:line="259" w:lineRule="auto"/>
              <w:rPr>
                <w:bCs/>
              </w:rPr>
            </w:pPr>
            <w:r>
              <w:rPr>
                <w:bCs/>
              </w:rPr>
              <w:t>World Energy Outlook (IEA)</w:t>
            </w:r>
          </w:p>
        </w:tc>
      </w:tr>
      <w:tr w:rsidR="00F25CAA" w:rsidRPr="0030539F" w14:paraId="5696981C" w14:textId="77777777" w:rsidTr="002714D1">
        <w:trPr>
          <w:trHeight w:val="397"/>
          <w:jc w:val="center"/>
        </w:trPr>
        <w:tc>
          <w:tcPr>
            <w:tcW w:w="0" w:type="auto"/>
            <w:vAlign w:val="center"/>
          </w:tcPr>
          <w:p w14:paraId="73478399" w14:textId="77777777" w:rsidR="00F25CAA" w:rsidRPr="0030539F" w:rsidRDefault="00F25CAA" w:rsidP="002714D1">
            <w:pPr>
              <w:spacing w:line="259" w:lineRule="auto"/>
              <w:rPr>
                <w:bCs/>
              </w:rPr>
            </w:pPr>
            <w:r>
              <w:rPr>
                <w:bCs/>
              </w:rPr>
              <w:t>WOO</w:t>
            </w:r>
          </w:p>
        </w:tc>
        <w:tc>
          <w:tcPr>
            <w:tcW w:w="0" w:type="auto"/>
            <w:vAlign w:val="center"/>
          </w:tcPr>
          <w:p w14:paraId="1990799F" w14:textId="77777777" w:rsidR="00F25CAA" w:rsidRPr="0030539F" w:rsidRDefault="00F25CAA" w:rsidP="002714D1">
            <w:pPr>
              <w:spacing w:line="259" w:lineRule="auto"/>
              <w:rPr>
                <w:bCs/>
              </w:rPr>
            </w:pPr>
            <w:r>
              <w:rPr>
                <w:bCs/>
              </w:rPr>
              <w:t xml:space="preserve">World Oil Outlook (OPEC) </w:t>
            </w:r>
          </w:p>
        </w:tc>
      </w:tr>
      <w:tr w:rsidR="00F25CAA" w:rsidRPr="0030539F" w14:paraId="2558DC39" w14:textId="77777777" w:rsidTr="002714D1">
        <w:trPr>
          <w:trHeight w:val="397"/>
          <w:jc w:val="center"/>
        </w:trPr>
        <w:tc>
          <w:tcPr>
            <w:tcW w:w="0" w:type="auto"/>
            <w:vAlign w:val="center"/>
          </w:tcPr>
          <w:p w14:paraId="6A5651B8" w14:textId="77777777" w:rsidR="00F25CAA" w:rsidRPr="0030539F" w:rsidRDefault="00F25CAA" w:rsidP="002714D1">
            <w:pPr>
              <w:spacing w:line="259" w:lineRule="auto"/>
              <w:rPr>
                <w:bCs/>
              </w:rPr>
            </w:pPr>
            <w:r>
              <w:rPr>
                <w:bCs/>
              </w:rPr>
              <w:t>UNSD</w:t>
            </w:r>
          </w:p>
        </w:tc>
        <w:tc>
          <w:tcPr>
            <w:tcW w:w="0" w:type="auto"/>
            <w:vAlign w:val="center"/>
          </w:tcPr>
          <w:p w14:paraId="0C8A0119" w14:textId="77777777" w:rsidR="00F25CAA" w:rsidRPr="0030539F" w:rsidRDefault="00F25CAA" w:rsidP="002714D1">
            <w:pPr>
              <w:spacing w:line="259" w:lineRule="auto"/>
              <w:rPr>
                <w:bCs/>
              </w:rPr>
            </w:pPr>
            <w:r>
              <w:rPr>
                <w:bCs/>
              </w:rPr>
              <w:t>United Nation’s Statistical Division</w:t>
            </w:r>
          </w:p>
        </w:tc>
      </w:tr>
      <w:tr w:rsidR="00F25CAA" w:rsidRPr="0030539F" w14:paraId="674EF3A9" w14:textId="77777777" w:rsidTr="002714D1">
        <w:trPr>
          <w:trHeight w:val="397"/>
          <w:jc w:val="center"/>
        </w:trPr>
        <w:tc>
          <w:tcPr>
            <w:tcW w:w="0" w:type="auto"/>
            <w:vAlign w:val="center"/>
          </w:tcPr>
          <w:p w14:paraId="5D053CC3" w14:textId="77777777" w:rsidR="00F25CAA" w:rsidRPr="0030539F" w:rsidRDefault="00F25CAA" w:rsidP="002714D1">
            <w:pPr>
              <w:spacing w:line="259" w:lineRule="auto"/>
              <w:rPr>
                <w:bCs/>
              </w:rPr>
            </w:pPr>
            <w:r>
              <w:rPr>
                <w:bCs/>
              </w:rPr>
              <w:t>ORB</w:t>
            </w:r>
          </w:p>
        </w:tc>
        <w:tc>
          <w:tcPr>
            <w:tcW w:w="0" w:type="auto"/>
            <w:vAlign w:val="center"/>
          </w:tcPr>
          <w:p w14:paraId="2CF8FEAD" w14:textId="77777777" w:rsidR="00F25CAA" w:rsidRPr="0030539F" w:rsidRDefault="00F25CAA" w:rsidP="002714D1">
            <w:pPr>
              <w:spacing w:line="259" w:lineRule="auto"/>
              <w:rPr>
                <w:bCs/>
              </w:rPr>
            </w:pPr>
            <w:r>
              <w:rPr>
                <w:bCs/>
              </w:rPr>
              <w:t>OPEC</w:t>
            </w:r>
            <w:r w:rsidRPr="005D522C">
              <w:rPr>
                <w:bCs/>
              </w:rPr>
              <w:t xml:space="preserve"> Reference Basket</w:t>
            </w:r>
          </w:p>
        </w:tc>
      </w:tr>
      <w:tr w:rsidR="00F25CAA" w:rsidRPr="0030539F" w14:paraId="04215751" w14:textId="77777777" w:rsidTr="002714D1">
        <w:trPr>
          <w:trHeight w:val="397"/>
          <w:jc w:val="center"/>
        </w:trPr>
        <w:tc>
          <w:tcPr>
            <w:tcW w:w="0" w:type="auto"/>
            <w:vAlign w:val="center"/>
          </w:tcPr>
          <w:p w14:paraId="5AE678CE" w14:textId="77777777" w:rsidR="00F25CAA" w:rsidRPr="0030539F" w:rsidRDefault="00F25CAA" w:rsidP="002714D1">
            <w:pPr>
              <w:spacing w:line="259" w:lineRule="auto"/>
              <w:rPr>
                <w:bCs/>
              </w:rPr>
            </w:pPr>
            <w:proofErr w:type="spellStart"/>
            <w:r>
              <w:rPr>
                <w:bCs/>
              </w:rPr>
              <w:t>mmbtu</w:t>
            </w:r>
            <w:proofErr w:type="spellEnd"/>
          </w:p>
        </w:tc>
        <w:tc>
          <w:tcPr>
            <w:tcW w:w="0" w:type="auto"/>
            <w:vAlign w:val="center"/>
          </w:tcPr>
          <w:p w14:paraId="56B54B94" w14:textId="77777777" w:rsidR="00F25CAA" w:rsidRPr="0030539F" w:rsidRDefault="00F25CAA" w:rsidP="002714D1">
            <w:pPr>
              <w:spacing w:line="259" w:lineRule="auto"/>
              <w:rPr>
                <w:bCs/>
              </w:rPr>
            </w:pPr>
            <w:r>
              <w:rPr>
                <w:bCs/>
              </w:rPr>
              <w:t>Million Tons o</w:t>
            </w:r>
            <w:r w:rsidRPr="005D522C">
              <w:rPr>
                <w:bCs/>
              </w:rPr>
              <w:t>f Oil Equivalent</w:t>
            </w:r>
          </w:p>
        </w:tc>
      </w:tr>
      <w:tr w:rsidR="00F25CAA" w:rsidRPr="0030539F" w14:paraId="3F3791D8" w14:textId="77777777" w:rsidTr="002714D1">
        <w:trPr>
          <w:trHeight w:val="397"/>
          <w:jc w:val="center"/>
        </w:trPr>
        <w:tc>
          <w:tcPr>
            <w:tcW w:w="0" w:type="auto"/>
            <w:vAlign w:val="center"/>
          </w:tcPr>
          <w:p w14:paraId="0E1F7D25" w14:textId="77777777" w:rsidR="00F25CAA" w:rsidRPr="0030539F" w:rsidRDefault="00F25CAA" w:rsidP="002714D1">
            <w:pPr>
              <w:spacing w:line="259" w:lineRule="auto"/>
              <w:rPr>
                <w:bCs/>
              </w:rPr>
            </w:pPr>
            <w:proofErr w:type="spellStart"/>
            <w:r w:rsidRPr="005D522C">
              <w:rPr>
                <w:bCs/>
              </w:rPr>
              <w:t>mboe</w:t>
            </w:r>
            <w:proofErr w:type="spellEnd"/>
            <w:r w:rsidRPr="005D522C">
              <w:rPr>
                <w:bCs/>
              </w:rPr>
              <w:t>/d</w:t>
            </w:r>
          </w:p>
        </w:tc>
        <w:tc>
          <w:tcPr>
            <w:tcW w:w="0" w:type="auto"/>
            <w:vAlign w:val="center"/>
          </w:tcPr>
          <w:p w14:paraId="6910A930" w14:textId="77777777" w:rsidR="00F25CAA" w:rsidRPr="0030539F" w:rsidRDefault="00F25CAA" w:rsidP="002714D1">
            <w:pPr>
              <w:spacing w:line="259" w:lineRule="auto"/>
              <w:rPr>
                <w:bCs/>
              </w:rPr>
            </w:pPr>
            <w:r>
              <w:rPr>
                <w:bCs/>
              </w:rPr>
              <w:t>Million Barrels of Oil Equivalent p</w:t>
            </w:r>
            <w:r w:rsidRPr="005D522C">
              <w:rPr>
                <w:bCs/>
              </w:rPr>
              <w:t>er Day</w:t>
            </w:r>
          </w:p>
        </w:tc>
      </w:tr>
      <w:tr w:rsidR="00F25CAA" w:rsidRPr="0030539F" w14:paraId="060B3FD4" w14:textId="77777777" w:rsidTr="002714D1">
        <w:trPr>
          <w:trHeight w:val="397"/>
          <w:jc w:val="center"/>
        </w:trPr>
        <w:tc>
          <w:tcPr>
            <w:tcW w:w="0" w:type="auto"/>
            <w:vAlign w:val="center"/>
          </w:tcPr>
          <w:p w14:paraId="51E2EB87" w14:textId="77777777" w:rsidR="00F25CAA" w:rsidRPr="0030539F" w:rsidRDefault="00F25CAA" w:rsidP="002714D1">
            <w:pPr>
              <w:spacing w:line="259" w:lineRule="auto"/>
              <w:rPr>
                <w:bCs/>
              </w:rPr>
            </w:pPr>
            <w:proofErr w:type="spellStart"/>
            <w:r>
              <w:rPr>
                <w:bCs/>
              </w:rPr>
              <w:t>bbl</w:t>
            </w:r>
            <w:proofErr w:type="spellEnd"/>
          </w:p>
        </w:tc>
        <w:tc>
          <w:tcPr>
            <w:tcW w:w="0" w:type="auto"/>
            <w:vAlign w:val="center"/>
          </w:tcPr>
          <w:p w14:paraId="09726EA4" w14:textId="77777777" w:rsidR="00F25CAA" w:rsidRPr="0030539F" w:rsidRDefault="00F25CAA" w:rsidP="002714D1">
            <w:pPr>
              <w:spacing w:line="259" w:lineRule="auto"/>
              <w:rPr>
                <w:bCs/>
              </w:rPr>
            </w:pPr>
            <w:r>
              <w:rPr>
                <w:bCs/>
              </w:rPr>
              <w:t xml:space="preserve">Barrel </w:t>
            </w:r>
          </w:p>
        </w:tc>
      </w:tr>
      <w:tr w:rsidR="00F25CAA" w:rsidRPr="0030539F" w14:paraId="30A9F487" w14:textId="77777777" w:rsidTr="002714D1">
        <w:trPr>
          <w:trHeight w:val="397"/>
          <w:jc w:val="center"/>
        </w:trPr>
        <w:tc>
          <w:tcPr>
            <w:tcW w:w="0" w:type="auto"/>
            <w:vAlign w:val="center"/>
          </w:tcPr>
          <w:p w14:paraId="789C6EF8" w14:textId="77777777" w:rsidR="00F25CAA" w:rsidRPr="0030539F" w:rsidRDefault="00F25CAA" w:rsidP="002714D1">
            <w:pPr>
              <w:spacing w:line="259" w:lineRule="auto"/>
              <w:rPr>
                <w:bCs/>
              </w:rPr>
            </w:pPr>
            <w:r>
              <w:rPr>
                <w:bCs/>
              </w:rPr>
              <w:t>NDCs</w:t>
            </w:r>
          </w:p>
        </w:tc>
        <w:tc>
          <w:tcPr>
            <w:tcW w:w="0" w:type="auto"/>
            <w:vAlign w:val="center"/>
          </w:tcPr>
          <w:p w14:paraId="245A20D3" w14:textId="77777777" w:rsidR="00F25CAA" w:rsidRPr="0030539F" w:rsidRDefault="00F25CAA" w:rsidP="002714D1">
            <w:pPr>
              <w:spacing w:line="259" w:lineRule="auto"/>
              <w:rPr>
                <w:bCs/>
              </w:rPr>
            </w:pPr>
            <w:r>
              <w:rPr>
                <w:bCs/>
              </w:rPr>
              <w:t>Nationally Determined Contributions</w:t>
            </w:r>
          </w:p>
        </w:tc>
      </w:tr>
      <w:tr w:rsidR="00F25CAA" w:rsidRPr="0030539F" w14:paraId="1565C4BD" w14:textId="77777777" w:rsidTr="002714D1">
        <w:trPr>
          <w:trHeight w:val="397"/>
          <w:jc w:val="center"/>
        </w:trPr>
        <w:tc>
          <w:tcPr>
            <w:tcW w:w="0" w:type="auto"/>
            <w:vAlign w:val="center"/>
          </w:tcPr>
          <w:p w14:paraId="0316A987" w14:textId="77777777" w:rsidR="00F25CAA" w:rsidRPr="0030539F" w:rsidRDefault="00F25CAA" w:rsidP="002714D1">
            <w:pPr>
              <w:spacing w:line="259" w:lineRule="auto"/>
              <w:rPr>
                <w:bCs/>
              </w:rPr>
            </w:pPr>
            <w:proofErr w:type="spellStart"/>
            <w:r>
              <w:rPr>
                <w:bCs/>
              </w:rPr>
              <w:t>Mtoe</w:t>
            </w:r>
            <w:proofErr w:type="spellEnd"/>
          </w:p>
        </w:tc>
        <w:tc>
          <w:tcPr>
            <w:tcW w:w="0" w:type="auto"/>
            <w:vAlign w:val="center"/>
          </w:tcPr>
          <w:p w14:paraId="1772424A" w14:textId="77777777" w:rsidR="00F25CAA" w:rsidRPr="0030539F" w:rsidRDefault="00F25CAA" w:rsidP="002714D1">
            <w:pPr>
              <w:spacing w:line="259" w:lineRule="auto"/>
              <w:rPr>
                <w:bCs/>
              </w:rPr>
            </w:pPr>
            <w:r>
              <w:rPr>
                <w:bCs/>
              </w:rPr>
              <w:t xml:space="preserve">Million </w:t>
            </w:r>
            <w:proofErr w:type="spellStart"/>
            <w:r>
              <w:rPr>
                <w:bCs/>
              </w:rPr>
              <w:t>Tonnes</w:t>
            </w:r>
            <w:proofErr w:type="spellEnd"/>
            <w:r>
              <w:rPr>
                <w:bCs/>
              </w:rPr>
              <w:t xml:space="preserve"> of Oil Equivalent </w:t>
            </w:r>
          </w:p>
        </w:tc>
      </w:tr>
      <w:tr w:rsidR="00F25CAA" w:rsidRPr="0030539F" w14:paraId="39547EEC" w14:textId="77777777" w:rsidTr="002714D1">
        <w:trPr>
          <w:trHeight w:val="397"/>
          <w:jc w:val="center"/>
        </w:trPr>
        <w:tc>
          <w:tcPr>
            <w:tcW w:w="0" w:type="auto"/>
            <w:vAlign w:val="center"/>
          </w:tcPr>
          <w:p w14:paraId="7C394572" w14:textId="77777777" w:rsidR="00F25CAA" w:rsidRPr="0030539F" w:rsidRDefault="00F25CAA" w:rsidP="002714D1">
            <w:pPr>
              <w:spacing w:line="259" w:lineRule="auto"/>
              <w:rPr>
                <w:bCs/>
              </w:rPr>
            </w:pPr>
            <w:r>
              <w:rPr>
                <w:bCs/>
              </w:rPr>
              <w:t>GHG</w:t>
            </w:r>
          </w:p>
        </w:tc>
        <w:tc>
          <w:tcPr>
            <w:tcW w:w="0" w:type="auto"/>
            <w:vAlign w:val="center"/>
          </w:tcPr>
          <w:p w14:paraId="3C2A2EDC" w14:textId="77777777" w:rsidR="00F25CAA" w:rsidRPr="0030539F" w:rsidRDefault="00F25CAA" w:rsidP="002714D1">
            <w:pPr>
              <w:spacing w:line="259" w:lineRule="auto"/>
              <w:rPr>
                <w:bCs/>
              </w:rPr>
            </w:pPr>
            <w:r>
              <w:rPr>
                <w:bCs/>
              </w:rPr>
              <w:t>Greenhouse Gas</w:t>
            </w:r>
          </w:p>
        </w:tc>
      </w:tr>
      <w:tr w:rsidR="00F25CAA" w:rsidRPr="0030539F" w14:paraId="03704290" w14:textId="77777777" w:rsidTr="002714D1">
        <w:trPr>
          <w:trHeight w:val="397"/>
          <w:jc w:val="center"/>
        </w:trPr>
        <w:tc>
          <w:tcPr>
            <w:tcW w:w="0" w:type="auto"/>
            <w:vAlign w:val="center"/>
          </w:tcPr>
          <w:p w14:paraId="7995E4C5" w14:textId="77777777" w:rsidR="00F25CAA" w:rsidRPr="0030539F" w:rsidRDefault="00F25CAA" w:rsidP="002714D1">
            <w:pPr>
              <w:spacing w:line="259" w:lineRule="auto"/>
              <w:rPr>
                <w:bCs/>
              </w:rPr>
            </w:pPr>
            <w:proofErr w:type="spellStart"/>
            <w:r>
              <w:rPr>
                <w:bCs/>
              </w:rPr>
              <w:t>bcm</w:t>
            </w:r>
            <w:proofErr w:type="spellEnd"/>
          </w:p>
        </w:tc>
        <w:tc>
          <w:tcPr>
            <w:tcW w:w="0" w:type="auto"/>
            <w:vAlign w:val="center"/>
          </w:tcPr>
          <w:p w14:paraId="06764CE3" w14:textId="77777777" w:rsidR="00F25CAA" w:rsidRPr="0030539F" w:rsidRDefault="00F25CAA" w:rsidP="002714D1">
            <w:pPr>
              <w:spacing w:line="259" w:lineRule="auto"/>
              <w:rPr>
                <w:bCs/>
              </w:rPr>
            </w:pPr>
            <w:r>
              <w:rPr>
                <w:bCs/>
              </w:rPr>
              <w:t xml:space="preserve">Billion Cubic </w:t>
            </w:r>
            <w:proofErr w:type="spellStart"/>
            <w:r>
              <w:rPr>
                <w:bCs/>
              </w:rPr>
              <w:t>Metres</w:t>
            </w:r>
            <w:proofErr w:type="spellEnd"/>
            <w:r>
              <w:rPr>
                <w:bCs/>
              </w:rPr>
              <w:t xml:space="preserve"> </w:t>
            </w:r>
          </w:p>
        </w:tc>
      </w:tr>
    </w:tbl>
    <w:p w14:paraId="04B6343B" w14:textId="77777777" w:rsidR="00F25CAA" w:rsidRDefault="00F25CAA" w:rsidP="00F25CAA">
      <w:pPr>
        <w:spacing w:after="0"/>
        <w:rPr>
          <w:rFonts w:cs="Helvetica"/>
        </w:rPr>
        <w:sectPr w:rsidR="00F25CAA" w:rsidSect="00422D3A">
          <w:footerReference w:type="default" r:id="rId22"/>
          <w:pgSz w:w="11906" w:h="16838" w:code="9"/>
          <w:pgMar w:top="1440" w:right="1440" w:bottom="1440" w:left="1440" w:header="720" w:footer="720" w:gutter="0"/>
          <w:cols w:space="720"/>
          <w:noEndnote/>
          <w:docGrid w:linePitch="326"/>
        </w:sectPr>
      </w:pPr>
      <w:r>
        <w:rPr>
          <w:rFonts w:cs="Helvetica"/>
        </w:rPr>
        <w:br w:type="page"/>
      </w:r>
      <w:bookmarkStart w:id="99" w:name="_GoBack"/>
      <w:bookmarkEnd w:id="99"/>
    </w:p>
    <w:p w14:paraId="3CCFF476" w14:textId="02615456" w:rsidR="00B26AA9" w:rsidRPr="0044546E" w:rsidRDefault="00B26AA9" w:rsidP="0044546E">
      <w:pPr>
        <w:rPr>
          <w:rFonts w:asciiTheme="majorHAnsi" w:hAnsiTheme="majorHAnsi" w:cstheme="majorHAnsi"/>
          <w:sz w:val="28"/>
          <w:szCs w:val="24"/>
        </w:rPr>
      </w:pPr>
    </w:p>
    <w:sectPr w:rsidR="00B26AA9" w:rsidRPr="0044546E" w:rsidSect="002714D1">
      <w:footerReference w:type="default" r:id="rId23"/>
      <w:type w:val="continuous"/>
      <w:pgSz w:w="11906" w:h="16838"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210C7" w14:textId="77777777" w:rsidR="00DF17A2" w:rsidRDefault="00DF17A2" w:rsidP="00F25CAA">
      <w:pPr>
        <w:spacing w:after="0" w:line="240" w:lineRule="auto"/>
      </w:pPr>
      <w:r>
        <w:separator/>
      </w:r>
    </w:p>
  </w:endnote>
  <w:endnote w:type="continuationSeparator" w:id="0">
    <w:p w14:paraId="42F6F3F4" w14:textId="77777777" w:rsidR="00DF17A2" w:rsidRDefault="00DF17A2" w:rsidP="00F25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y ligh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691820"/>
      <w:docPartObj>
        <w:docPartGallery w:val="Page Numbers (Bottom of Page)"/>
        <w:docPartUnique/>
      </w:docPartObj>
    </w:sdtPr>
    <w:sdtEndPr>
      <w:rPr>
        <w:noProof/>
      </w:rPr>
    </w:sdtEndPr>
    <w:sdtContent>
      <w:p w14:paraId="7A0B9477" w14:textId="03131007" w:rsidR="00551C8D" w:rsidRDefault="00551C8D">
        <w:pPr>
          <w:pStyle w:val="Footer"/>
          <w:jc w:val="right"/>
        </w:pPr>
        <w:r>
          <w:fldChar w:fldCharType="begin"/>
        </w:r>
        <w:r>
          <w:instrText xml:space="preserve"> PAGE   \* MERGEFORMAT </w:instrText>
        </w:r>
        <w:r>
          <w:fldChar w:fldCharType="separate"/>
        </w:r>
        <w:r w:rsidR="003B60E1">
          <w:rPr>
            <w:noProof/>
          </w:rPr>
          <w:t>6</w:t>
        </w:r>
        <w:r>
          <w:rPr>
            <w:noProof/>
          </w:rPr>
          <w:fldChar w:fldCharType="end"/>
        </w:r>
      </w:p>
    </w:sdtContent>
  </w:sdt>
  <w:p w14:paraId="52B7E479" w14:textId="77777777" w:rsidR="00551C8D" w:rsidRDefault="00551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747831"/>
      <w:docPartObj>
        <w:docPartGallery w:val="Page Numbers (Bottom of Page)"/>
        <w:docPartUnique/>
      </w:docPartObj>
    </w:sdtPr>
    <w:sdtEndPr>
      <w:rPr>
        <w:noProof/>
      </w:rPr>
    </w:sdtEndPr>
    <w:sdtContent>
      <w:p w14:paraId="790D222C" w14:textId="64121B7C" w:rsidR="00551C8D" w:rsidRDefault="00551C8D">
        <w:pPr>
          <w:pStyle w:val="Footer"/>
        </w:pPr>
        <w:r>
          <w:fldChar w:fldCharType="begin"/>
        </w:r>
        <w:r>
          <w:instrText xml:space="preserve"> PAGE   \* MERGEFORMAT </w:instrText>
        </w:r>
        <w:r>
          <w:fldChar w:fldCharType="separate"/>
        </w:r>
        <w:r w:rsidR="003B60E1">
          <w:rPr>
            <w:noProof/>
          </w:rPr>
          <w:t>7</w:t>
        </w:r>
        <w:r>
          <w:rPr>
            <w:noProof/>
          </w:rPr>
          <w:fldChar w:fldCharType="end"/>
        </w:r>
      </w:p>
    </w:sdtContent>
  </w:sdt>
  <w:p w14:paraId="63EE0E0B" w14:textId="77777777" w:rsidR="00551C8D" w:rsidRDefault="00551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26619"/>
      <w:docPartObj>
        <w:docPartGallery w:val="Page Numbers (Bottom of Page)"/>
        <w:docPartUnique/>
      </w:docPartObj>
    </w:sdtPr>
    <w:sdtEndPr>
      <w:rPr>
        <w:noProof/>
      </w:rPr>
    </w:sdtEndPr>
    <w:sdtContent>
      <w:p w14:paraId="53087B33" w14:textId="3BB04AFE" w:rsidR="00551C8D" w:rsidRDefault="00551C8D">
        <w:pPr>
          <w:pStyle w:val="Footer"/>
          <w:jc w:val="right"/>
        </w:pPr>
        <w:r>
          <w:fldChar w:fldCharType="begin"/>
        </w:r>
        <w:r>
          <w:instrText xml:space="preserve"> PAGE   \* MERGEFORMAT </w:instrText>
        </w:r>
        <w:r>
          <w:fldChar w:fldCharType="separate"/>
        </w:r>
        <w:r w:rsidR="003B60E1">
          <w:rPr>
            <w:noProof/>
          </w:rPr>
          <w:t>19</w:t>
        </w:r>
        <w:r>
          <w:rPr>
            <w:noProof/>
          </w:rPr>
          <w:fldChar w:fldCharType="end"/>
        </w:r>
      </w:p>
    </w:sdtContent>
  </w:sdt>
  <w:p w14:paraId="6054FE4C" w14:textId="77777777" w:rsidR="00551C8D" w:rsidRPr="00894AC0" w:rsidRDefault="00551C8D" w:rsidP="002714D1">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4DD17" w14:textId="77777777" w:rsidR="00551C8D" w:rsidRPr="00894AC0" w:rsidRDefault="00551C8D" w:rsidP="002714D1">
    <w:pPr>
      <w:pStyle w:val="Footer"/>
      <w:rPr>
        <w:sz w:val="16"/>
        <w:szCs w:val="16"/>
      </w:rPr>
    </w:pPr>
    <w:r w:rsidRPr="00894AC0">
      <w:rPr>
        <w:color w:val="002060"/>
        <w:sz w:val="16"/>
        <w:szCs w:val="16"/>
      </w:rPr>
      <w:tab/>
    </w:r>
    <w:r w:rsidRPr="00894AC0">
      <w:rPr>
        <w:color w:val="00206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29D20" w14:textId="77777777" w:rsidR="00DF17A2" w:rsidRDefault="00DF17A2" w:rsidP="00F25CAA">
      <w:pPr>
        <w:spacing w:after="0" w:line="240" w:lineRule="auto"/>
      </w:pPr>
      <w:r>
        <w:separator/>
      </w:r>
    </w:p>
  </w:footnote>
  <w:footnote w:type="continuationSeparator" w:id="0">
    <w:p w14:paraId="72C44BC3" w14:textId="77777777" w:rsidR="00DF17A2" w:rsidRDefault="00DF17A2" w:rsidP="00F25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41DE"/>
    <w:multiLevelType w:val="hybridMultilevel"/>
    <w:tmpl w:val="003A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20D68"/>
    <w:multiLevelType w:val="hybridMultilevel"/>
    <w:tmpl w:val="F928F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648C1"/>
    <w:multiLevelType w:val="hybridMultilevel"/>
    <w:tmpl w:val="50763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73446"/>
    <w:multiLevelType w:val="hybridMultilevel"/>
    <w:tmpl w:val="8B8E5DEA"/>
    <w:lvl w:ilvl="0" w:tplc="3CD2CE6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2028D"/>
    <w:multiLevelType w:val="hybridMultilevel"/>
    <w:tmpl w:val="0AB40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F06C46"/>
    <w:multiLevelType w:val="hybridMultilevel"/>
    <w:tmpl w:val="DB560530"/>
    <w:lvl w:ilvl="0" w:tplc="9FCAAF74">
      <w:start w:val="6"/>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77E92"/>
    <w:multiLevelType w:val="hybridMultilevel"/>
    <w:tmpl w:val="CD942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3D73230"/>
    <w:multiLevelType w:val="hybridMultilevel"/>
    <w:tmpl w:val="3B32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14C5F"/>
    <w:multiLevelType w:val="hybridMultilevel"/>
    <w:tmpl w:val="4A06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85D64"/>
    <w:multiLevelType w:val="hybridMultilevel"/>
    <w:tmpl w:val="0D24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747DB7"/>
    <w:multiLevelType w:val="multilevel"/>
    <w:tmpl w:val="4D7AC94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3DEE030B"/>
    <w:multiLevelType w:val="hybridMultilevel"/>
    <w:tmpl w:val="FDD68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D87FC5"/>
    <w:multiLevelType w:val="hybridMultilevel"/>
    <w:tmpl w:val="7BA03A34"/>
    <w:lvl w:ilvl="0" w:tplc="D04A6566">
      <w:start w:val="1"/>
      <w:numFmt w:val="bullet"/>
      <w:lvlText w:val=""/>
      <w:lvlJc w:val="left"/>
      <w:pPr>
        <w:ind w:left="57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E30348"/>
    <w:multiLevelType w:val="hybridMultilevel"/>
    <w:tmpl w:val="F928F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1F4792"/>
    <w:multiLevelType w:val="hybridMultilevel"/>
    <w:tmpl w:val="CA662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0B44CB"/>
    <w:multiLevelType w:val="hybridMultilevel"/>
    <w:tmpl w:val="BD5276A0"/>
    <w:lvl w:ilvl="0" w:tplc="5E1CD8AA">
      <w:start w:val="8"/>
      <w:numFmt w:val="bullet"/>
      <w:lvlText w:val="-"/>
      <w:lvlJc w:val="left"/>
      <w:pPr>
        <w:ind w:left="1440" w:hanging="360"/>
      </w:pPr>
      <w:rPr>
        <w:rFonts w:ascii="Helvetica" w:eastAsiaTheme="minorHAnsi" w:hAnsi="Helvetica" w:cs="Helvetic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88D458C"/>
    <w:multiLevelType w:val="hybridMultilevel"/>
    <w:tmpl w:val="ABBC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
  </w:num>
  <w:num w:numId="9">
    <w:abstractNumId w:val="9"/>
  </w:num>
  <w:num w:numId="10">
    <w:abstractNumId w:val="2"/>
  </w:num>
  <w:num w:numId="11">
    <w:abstractNumId w:val="5"/>
  </w:num>
  <w:num w:numId="12">
    <w:abstractNumId w:val="15"/>
  </w:num>
  <w:num w:numId="13">
    <w:abstractNumId w:val="8"/>
  </w:num>
  <w:num w:numId="14">
    <w:abstractNumId w:val="10"/>
  </w:num>
  <w:num w:numId="15">
    <w:abstractNumId w:val="7"/>
  </w:num>
  <w:num w:numId="16">
    <w:abstractNumId w:val="12"/>
  </w:num>
  <w:num w:numId="17">
    <w:abstractNumId w:val="4"/>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AD"/>
    <w:rsid w:val="00002292"/>
    <w:rsid w:val="00005274"/>
    <w:rsid w:val="00016FAB"/>
    <w:rsid w:val="00022CC6"/>
    <w:rsid w:val="000340A9"/>
    <w:rsid w:val="00045CD0"/>
    <w:rsid w:val="00053ADB"/>
    <w:rsid w:val="00062014"/>
    <w:rsid w:val="00063527"/>
    <w:rsid w:val="000637CB"/>
    <w:rsid w:val="0006776E"/>
    <w:rsid w:val="000736C9"/>
    <w:rsid w:val="000801ED"/>
    <w:rsid w:val="000823BE"/>
    <w:rsid w:val="000934D7"/>
    <w:rsid w:val="00094E48"/>
    <w:rsid w:val="000C0C04"/>
    <w:rsid w:val="000C2173"/>
    <w:rsid w:val="000C5E68"/>
    <w:rsid w:val="000C7B45"/>
    <w:rsid w:val="000D131F"/>
    <w:rsid w:val="000D7C32"/>
    <w:rsid w:val="000E14F6"/>
    <w:rsid w:val="000E217A"/>
    <w:rsid w:val="000E40F5"/>
    <w:rsid w:val="0010314D"/>
    <w:rsid w:val="00105246"/>
    <w:rsid w:val="00112C9F"/>
    <w:rsid w:val="00117671"/>
    <w:rsid w:val="0011794C"/>
    <w:rsid w:val="001253B7"/>
    <w:rsid w:val="001257BE"/>
    <w:rsid w:val="00160367"/>
    <w:rsid w:val="0016287B"/>
    <w:rsid w:val="00163975"/>
    <w:rsid w:val="00170610"/>
    <w:rsid w:val="00172B61"/>
    <w:rsid w:val="00173DFA"/>
    <w:rsid w:val="00186ABE"/>
    <w:rsid w:val="0019089B"/>
    <w:rsid w:val="001915CE"/>
    <w:rsid w:val="00195361"/>
    <w:rsid w:val="001A79B0"/>
    <w:rsid w:val="001B606F"/>
    <w:rsid w:val="001C4380"/>
    <w:rsid w:val="001D0A81"/>
    <w:rsid w:val="001D6CE2"/>
    <w:rsid w:val="002179F4"/>
    <w:rsid w:val="00217B79"/>
    <w:rsid w:val="00224566"/>
    <w:rsid w:val="0022489E"/>
    <w:rsid w:val="002254CE"/>
    <w:rsid w:val="0023450E"/>
    <w:rsid w:val="00242E87"/>
    <w:rsid w:val="0024496C"/>
    <w:rsid w:val="00251443"/>
    <w:rsid w:val="0025240B"/>
    <w:rsid w:val="0025353E"/>
    <w:rsid w:val="00262169"/>
    <w:rsid w:val="00266815"/>
    <w:rsid w:val="002714D1"/>
    <w:rsid w:val="00286E5F"/>
    <w:rsid w:val="00287CEC"/>
    <w:rsid w:val="0029215B"/>
    <w:rsid w:val="002A37CF"/>
    <w:rsid w:val="002B1FCB"/>
    <w:rsid w:val="002B26DC"/>
    <w:rsid w:val="002B7BEB"/>
    <w:rsid w:val="002C58BA"/>
    <w:rsid w:val="002C627E"/>
    <w:rsid w:val="002D0691"/>
    <w:rsid w:val="002D1161"/>
    <w:rsid w:val="002D7CC7"/>
    <w:rsid w:val="002E62BF"/>
    <w:rsid w:val="002F434C"/>
    <w:rsid w:val="002F5C75"/>
    <w:rsid w:val="00306F6F"/>
    <w:rsid w:val="00307BD5"/>
    <w:rsid w:val="0031172A"/>
    <w:rsid w:val="00314F27"/>
    <w:rsid w:val="003174B5"/>
    <w:rsid w:val="003416AB"/>
    <w:rsid w:val="00354E97"/>
    <w:rsid w:val="00357AB2"/>
    <w:rsid w:val="003640A8"/>
    <w:rsid w:val="003643C9"/>
    <w:rsid w:val="00370C77"/>
    <w:rsid w:val="00373E09"/>
    <w:rsid w:val="00375388"/>
    <w:rsid w:val="00381BBD"/>
    <w:rsid w:val="00382089"/>
    <w:rsid w:val="00384791"/>
    <w:rsid w:val="00385F3B"/>
    <w:rsid w:val="00387559"/>
    <w:rsid w:val="003A0C66"/>
    <w:rsid w:val="003A553E"/>
    <w:rsid w:val="003B60E1"/>
    <w:rsid w:val="003C019C"/>
    <w:rsid w:val="003D0AF6"/>
    <w:rsid w:val="003F76EE"/>
    <w:rsid w:val="003F7C71"/>
    <w:rsid w:val="00422D3A"/>
    <w:rsid w:val="00425ABD"/>
    <w:rsid w:val="00433BE0"/>
    <w:rsid w:val="00434776"/>
    <w:rsid w:val="0043542D"/>
    <w:rsid w:val="0044546E"/>
    <w:rsid w:val="0045107A"/>
    <w:rsid w:val="0046006F"/>
    <w:rsid w:val="004732D4"/>
    <w:rsid w:val="00477F78"/>
    <w:rsid w:val="004935EC"/>
    <w:rsid w:val="00493DB1"/>
    <w:rsid w:val="004B43A3"/>
    <w:rsid w:val="004B66B8"/>
    <w:rsid w:val="004C08F8"/>
    <w:rsid w:val="004C79B6"/>
    <w:rsid w:val="004C7AE9"/>
    <w:rsid w:val="004D6FF3"/>
    <w:rsid w:val="004E247F"/>
    <w:rsid w:val="004E2E37"/>
    <w:rsid w:val="004E2F2E"/>
    <w:rsid w:val="004F7743"/>
    <w:rsid w:val="00505220"/>
    <w:rsid w:val="005107AD"/>
    <w:rsid w:val="00513459"/>
    <w:rsid w:val="00515992"/>
    <w:rsid w:val="00531DFA"/>
    <w:rsid w:val="00545A82"/>
    <w:rsid w:val="00551423"/>
    <w:rsid w:val="00551C8D"/>
    <w:rsid w:val="005631D1"/>
    <w:rsid w:val="005730C7"/>
    <w:rsid w:val="005830B7"/>
    <w:rsid w:val="0058475E"/>
    <w:rsid w:val="005B4EF7"/>
    <w:rsid w:val="005C2B0C"/>
    <w:rsid w:val="005C2F8E"/>
    <w:rsid w:val="005C3D75"/>
    <w:rsid w:val="005D02C4"/>
    <w:rsid w:val="005D205F"/>
    <w:rsid w:val="005D22B9"/>
    <w:rsid w:val="005D53F8"/>
    <w:rsid w:val="005E4C81"/>
    <w:rsid w:val="005F0CD8"/>
    <w:rsid w:val="00606E8F"/>
    <w:rsid w:val="00612F45"/>
    <w:rsid w:val="00613D38"/>
    <w:rsid w:val="00626AF3"/>
    <w:rsid w:val="00627358"/>
    <w:rsid w:val="006309F4"/>
    <w:rsid w:val="00636385"/>
    <w:rsid w:val="00640A87"/>
    <w:rsid w:val="006420F3"/>
    <w:rsid w:val="00645CC8"/>
    <w:rsid w:val="00652D05"/>
    <w:rsid w:val="0066180B"/>
    <w:rsid w:val="006820FC"/>
    <w:rsid w:val="00683129"/>
    <w:rsid w:val="0069513F"/>
    <w:rsid w:val="00696558"/>
    <w:rsid w:val="006A0D21"/>
    <w:rsid w:val="006B11CB"/>
    <w:rsid w:val="006B1B10"/>
    <w:rsid w:val="006B61D3"/>
    <w:rsid w:val="006C400A"/>
    <w:rsid w:val="006C5FBC"/>
    <w:rsid w:val="006C67DA"/>
    <w:rsid w:val="006D3697"/>
    <w:rsid w:val="006D5314"/>
    <w:rsid w:val="006E00DD"/>
    <w:rsid w:val="006E11D3"/>
    <w:rsid w:val="006E2833"/>
    <w:rsid w:val="006F49D2"/>
    <w:rsid w:val="00701BE3"/>
    <w:rsid w:val="007146A4"/>
    <w:rsid w:val="00740AA7"/>
    <w:rsid w:val="00746213"/>
    <w:rsid w:val="00747434"/>
    <w:rsid w:val="00753216"/>
    <w:rsid w:val="00755505"/>
    <w:rsid w:val="00755B0D"/>
    <w:rsid w:val="0075626B"/>
    <w:rsid w:val="007573B1"/>
    <w:rsid w:val="00763B38"/>
    <w:rsid w:val="00765F0E"/>
    <w:rsid w:val="00774E97"/>
    <w:rsid w:val="00792968"/>
    <w:rsid w:val="007B008A"/>
    <w:rsid w:val="007C71B1"/>
    <w:rsid w:val="007D02CE"/>
    <w:rsid w:val="007E4585"/>
    <w:rsid w:val="007E58F9"/>
    <w:rsid w:val="007E69DA"/>
    <w:rsid w:val="00800F0E"/>
    <w:rsid w:val="0081099D"/>
    <w:rsid w:val="00811182"/>
    <w:rsid w:val="0081426D"/>
    <w:rsid w:val="0081782E"/>
    <w:rsid w:val="008369E2"/>
    <w:rsid w:val="0084789D"/>
    <w:rsid w:val="00854FEA"/>
    <w:rsid w:val="00860626"/>
    <w:rsid w:val="00861804"/>
    <w:rsid w:val="00862D64"/>
    <w:rsid w:val="0086555C"/>
    <w:rsid w:val="00865CE4"/>
    <w:rsid w:val="00865F2B"/>
    <w:rsid w:val="00872DE2"/>
    <w:rsid w:val="0087384F"/>
    <w:rsid w:val="00874FF3"/>
    <w:rsid w:val="00883D56"/>
    <w:rsid w:val="008873FE"/>
    <w:rsid w:val="00887DE4"/>
    <w:rsid w:val="00891273"/>
    <w:rsid w:val="008916F6"/>
    <w:rsid w:val="00892E15"/>
    <w:rsid w:val="00893DBE"/>
    <w:rsid w:val="008A47BC"/>
    <w:rsid w:val="008A60A3"/>
    <w:rsid w:val="008B32EE"/>
    <w:rsid w:val="008C27F0"/>
    <w:rsid w:val="008D6488"/>
    <w:rsid w:val="008F4376"/>
    <w:rsid w:val="008F7DA6"/>
    <w:rsid w:val="00902FD4"/>
    <w:rsid w:val="00903145"/>
    <w:rsid w:val="009074EC"/>
    <w:rsid w:val="00916D2F"/>
    <w:rsid w:val="00926729"/>
    <w:rsid w:val="00926B79"/>
    <w:rsid w:val="0094038A"/>
    <w:rsid w:val="00940428"/>
    <w:rsid w:val="00946E69"/>
    <w:rsid w:val="00953AE2"/>
    <w:rsid w:val="00962009"/>
    <w:rsid w:val="00963134"/>
    <w:rsid w:val="00966B93"/>
    <w:rsid w:val="009709C5"/>
    <w:rsid w:val="009743BD"/>
    <w:rsid w:val="00981D02"/>
    <w:rsid w:val="00983CB1"/>
    <w:rsid w:val="00987260"/>
    <w:rsid w:val="009910F6"/>
    <w:rsid w:val="00995417"/>
    <w:rsid w:val="009A2B1B"/>
    <w:rsid w:val="009A365F"/>
    <w:rsid w:val="009A68C1"/>
    <w:rsid w:val="009B11C8"/>
    <w:rsid w:val="009C1C46"/>
    <w:rsid w:val="009C7231"/>
    <w:rsid w:val="009D126D"/>
    <w:rsid w:val="009D42AF"/>
    <w:rsid w:val="009D525C"/>
    <w:rsid w:val="00A04685"/>
    <w:rsid w:val="00A20136"/>
    <w:rsid w:val="00A253B4"/>
    <w:rsid w:val="00A272EF"/>
    <w:rsid w:val="00A31AAD"/>
    <w:rsid w:val="00A37675"/>
    <w:rsid w:val="00A54791"/>
    <w:rsid w:val="00A55FDA"/>
    <w:rsid w:val="00A55FF7"/>
    <w:rsid w:val="00A56B48"/>
    <w:rsid w:val="00A6696D"/>
    <w:rsid w:val="00A67711"/>
    <w:rsid w:val="00A74A57"/>
    <w:rsid w:val="00A77AF5"/>
    <w:rsid w:val="00A81CF7"/>
    <w:rsid w:val="00A9069A"/>
    <w:rsid w:val="00A92ED8"/>
    <w:rsid w:val="00A9331B"/>
    <w:rsid w:val="00A93CC8"/>
    <w:rsid w:val="00AA1B02"/>
    <w:rsid w:val="00AA6762"/>
    <w:rsid w:val="00AA7703"/>
    <w:rsid w:val="00AB615A"/>
    <w:rsid w:val="00AB64B5"/>
    <w:rsid w:val="00AC05BE"/>
    <w:rsid w:val="00AC21D5"/>
    <w:rsid w:val="00AC6D20"/>
    <w:rsid w:val="00AC6FA4"/>
    <w:rsid w:val="00AF3822"/>
    <w:rsid w:val="00AF51A2"/>
    <w:rsid w:val="00B02E4F"/>
    <w:rsid w:val="00B04CF2"/>
    <w:rsid w:val="00B2616A"/>
    <w:rsid w:val="00B26AA9"/>
    <w:rsid w:val="00B427A8"/>
    <w:rsid w:val="00B45DC6"/>
    <w:rsid w:val="00B50948"/>
    <w:rsid w:val="00B52CA3"/>
    <w:rsid w:val="00B61C3C"/>
    <w:rsid w:val="00B77F6C"/>
    <w:rsid w:val="00BB1DFA"/>
    <w:rsid w:val="00BB5B52"/>
    <w:rsid w:val="00BB6B21"/>
    <w:rsid w:val="00BB7667"/>
    <w:rsid w:val="00BB7BC2"/>
    <w:rsid w:val="00BD331D"/>
    <w:rsid w:val="00BD6D45"/>
    <w:rsid w:val="00BE33FD"/>
    <w:rsid w:val="00BE5B60"/>
    <w:rsid w:val="00BE7B06"/>
    <w:rsid w:val="00BF0538"/>
    <w:rsid w:val="00BF71D7"/>
    <w:rsid w:val="00C123A6"/>
    <w:rsid w:val="00C13A08"/>
    <w:rsid w:val="00C16622"/>
    <w:rsid w:val="00C30B52"/>
    <w:rsid w:val="00C4234B"/>
    <w:rsid w:val="00C43B4E"/>
    <w:rsid w:val="00C471B7"/>
    <w:rsid w:val="00C531E3"/>
    <w:rsid w:val="00C53B4A"/>
    <w:rsid w:val="00C54112"/>
    <w:rsid w:val="00C5466C"/>
    <w:rsid w:val="00C576C5"/>
    <w:rsid w:val="00C61844"/>
    <w:rsid w:val="00C73BAD"/>
    <w:rsid w:val="00C7407F"/>
    <w:rsid w:val="00C81F78"/>
    <w:rsid w:val="00C85A74"/>
    <w:rsid w:val="00C9601B"/>
    <w:rsid w:val="00C97060"/>
    <w:rsid w:val="00CA08B4"/>
    <w:rsid w:val="00CA5786"/>
    <w:rsid w:val="00CB3CEE"/>
    <w:rsid w:val="00CC5557"/>
    <w:rsid w:val="00CC6C65"/>
    <w:rsid w:val="00CC6F03"/>
    <w:rsid w:val="00CD05DB"/>
    <w:rsid w:val="00CD125A"/>
    <w:rsid w:val="00CD31B5"/>
    <w:rsid w:val="00CE0B39"/>
    <w:rsid w:val="00CE30E2"/>
    <w:rsid w:val="00CF3184"/>
    <w:rsid w:val="00D037D1"/>
    <w:rsid w:val="00D114AB"/>
    <w:rsid w:val="00D13435"/>
    <w:rsid w:val="00D20894"/>
    <w:rsid w:val="00D22166"/>
    <w:rsid w:val="00D40FED"/>
    <w:rsid w:val="00D41E15"/>
    <w:rsid w:val="00D42140"/>
    <w:rsid w:val="00D43631"/>
    <w:rsid w:val="00D46B4E"/>
    <w:rsid w:val="00D5748F"/>
    <w:rsid w:val="00D57C66"/>
    <w:rsid w:val="00D617EF"/>
    <w:rsid w:val="00D77226"/>
    <w:rsid w:val="00D90ADE"/>
    <w:rsid w:val="00D91660"/>
    <w:rsid w:val="00D941DF"/>
    <w:rsid w:val="00D94A76"/>
    <w:rsid w:val="00DA0621"/>
    <w:rsid w:val="00DA0AC3"/>
    <w:rsid w:val="00DA2B95"/>
    <w:rsid w:val="00DA4C5F"/>
    <w:rsid w:val="00DA5260"/>
    <w:rsid w:val="00DA52A5"/>
    <w:rsid w:val="00DA5D19"/>
    <w:rsid w:val="00DB0A1B"/>
    <w:rsid w:val="00DB0C66"/>
    <w:rsid w:val="00DB3A59"/>
    <w:rsid w:val="00DB75C1"/>
    <w:rsid w:val="00DD7E53"/>
    <w:rsid w:val="00DE60E4"/>
    <w:rsid w:val="00DF17A2"/>
    <w:rsid w:val="00DF464F"/>
    <w:rsid w:val="00E17863"/>
    <w:rsid w:val="00E27F4D"/>
    <w:rsid w:val="00E320EB"/>
    <w:rsid w:val="00E33132"/>
    <w:rsid w:val="00E341B5"/>
    <w:rsid w:val="00E57CCB"/>
    <w:rsid w:val="00E61981"/>
    <w:rsid w:val="00E6237A"/>
    <w:rsid w:val="00E65D4B"/>
    <w:rsid w:val="00E73004"/>
    <w:rsid w:val="00E80A96"/>
    <w:rsid w:val="00E81B4F"/>
    <w:rsid w:val="00E86BEA"/>
    <w:rsid w:val="00E917DE"/>
    <w:rsid w:val="00EC0B7F"/>
    <w:rsid w:val="00EC4308"/>
    <w:rsid w:val="00ED06A4"/>
    <w:rsid w:val="00ED35D1"/>
    <w:rsid w:val="00ED3932"/>
    <w:rsid w:val="00ED4351"/>
    <w:rsid w:val="00ED5619"/>
    <w:rsid w:val="00EE37B5"/>
    <w:rsid w:val="00EE5FFB"/>
    <w:rsid w:val="00EF11A7"/>
    <w:rsid w:val="00EF26B1"/>
    <w:rsid w:val="00EF4009"/>
    <w:rsid w:val="00F17FE0"/>
    <w:rsid w:val="00F25CAA"/>
    <w:rsid w:val="00F26A50"/>
    <w:rsid w:val="00F27F0B"/>
    <w:rsid w:val="00F3394D"/>
    <w:rsid w:val="00F36D34"/>
    <w:rsid w:val="00F53288"/>
    <w:rsid w:val="00F71CD9"/>
    <w:rsid w:val="00F80625"/>
    <w:rsid w:val="00F835A3"/>
    <w:rsid w:val="00F87518"/>
    <w:rsid w:val="00F958A0"/>
    <w:rsid w:val="00FA0AD2"/>
    <w:rsid w:val="00FA6BBA"/>
    <w:rsid w:val="00FD694C"/>
    <w:rsid w:val="00FE38B0"/>
    <w:rsid w:val="00FE781F"/>
    <w:rsid w:val="00FF6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8CA45"/>
  <w15:chartTrackingRefBased/>
  <w15:docId w15:val="{A69030B6-D77A-4A5F-AF51-A00D2119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3A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26A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26A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730C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AAD"/>
    <w:pPr>
      <w:spacing w:after="0" w:line="240" w:lineRule="auto"/>
      <w:ind w:left="720"/>
    </w:pPr>
    <w:rPr>
      <w:rFonts w:ascii="Calibri" w:hAnsi="Calibri" w:cs="Calibri"/>
    </w:rPr>
  </w:style>
  <w:style w:type="paragraph" w:customStyle="1" w:styleId="Title3">
    <w:name w:val="Title 3"/>
    <w:basedOn w:val="Normal"/>
    <w:qFormat/>
    <w:rsid w:val="00A31AAD"/>
    <w:pPr>
      <w:spacing w:line="276" w:lineRule="auto"/>
      <w:jc w:val="lowKashida"/>
    </w:pPr>
    <w:rPr>
      <w:rFonts w:ascii="Calibry light" w:hAnsi="Calibry light" w:cs="Calibri Light"/>
      <w:b/>
      <w:bCs/>
      <w:color w:val="0070C0"/>
      <w:sz w:val="28"/>
      <w:szCs w:val="32"/>
    </w:rPr>
  </w:style>
  <w:style w:type="character" w:styleId="Hyperlink">
    <w:name w:val="Hyperlink"/>
    <w:basedOn w:val="DefaultParagraphFont"/>
    <w:uiPriority w:val="99"/>
    <w:unhideWhenUsed/>
    <w:rsid w:val="00A31AAD"/>
    <w:rPr>
      <w:strike w:val="0"/>
      <w:dstrike w:val="0"/>
      <w:color w:val="1982D1"/>
      <w:u w:val="none"/>
      <w:effect w:val="none"/>
    </w:rPr>
  </w:style>
  <w:style w:type="character" w:customStyle="1" w:styleId="s1">
    <w:name w:val="s1"/>
    <w:basedOn w:val="DefaultParagraphFont"/>
    <w:rsid w:val="00A31AAD"/>
  </w:style>
  <w:style w:type="character" w:customStyle="1" w:styleId="Heading3Char">
    <w:name w:val="Heading 3 Char"/>
    <w:basedOn w:val="DefaultParagraphFont"/>
    <w:link w:val="Heading3"/>
    <w:uiPriority w:val="9"/>
    <w:rsid w:val="00B26AA9"/>
    <w:rPr>
      <w:rFonts w:ascii="Times New Roman" w:eastAsia="Times New Roman" w:hAnsi="Times New Roman" w:cs="Times New Roman"/>
      <w:b/>
      <w:bCs/>
      <w:sz w:val="27"/>
      <w:szCs w:val="27"/>
    </w:rPr>
  </w:style>
  <w:style w:type="paragraph" w:styleId="NormalWeb">
    <w:name w:val="Normal (Web)"/>
    <w:basedOn w:val="Normal"/>
    <w:uiPriority w:val="99"/>
    <w:unhideWhenUsed/>
    <w:rsid w:val="00B26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26AA9"/>
    <w:rPr>
      <w:rFonts w:asciiTheme="majorHAnsi" w:eastAsiaTheme="majorEastAsia" w:hAnsiTheme="majorHAnsi" w:cstheme="majorBidi"/>
      <w:color w:val="2E74B5" w:themeColor="accent1" w:themeShade="BF"/>
      <w:sz w:val="26"/>
      <w:szCs w:val="26"/>
    </w:rPr>
  </w:style>
  <w:style w:type="paragraph" w:customStyle="1" w:styleId="Default">
    <w:name w:val="Default"/>
    <w:locked/>
    <w:rsid w:val="00FD694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itle1">
    <w:name w:val="Title 1"/>
    <w:basedOn w:val="Normal"/>
    <w:qFormat/>
    <w:rsid w:val="00ED4351"/>
    <w:pPr>
      <w:spacing w:line="276" w:lineRule="auto"/>
      <w:jc w:val="lowKashida"/>
    </w:pPr>
    <w:rPr>
      <w:rFonts w:ascii="Calibry light" w:hAnsi="Calibry light" w:cs="Calibri Light"/>
      <w:b/>
      <w:bCs/>
      <w:color w:val="0070C0"/>
      <w:sz w:val="36"/>
      <w:szCs w:val="36"/>
    </w:rPr>
  </w:style>
  <w:style w:type="character" w:customStyle="1" w:styleId="Heading1Char">
    <w:name w:val="Heading 1 Char"/>
    <w:basedOn w:val="DefaultParagraphFont"/>
    <w:link w:val="Heading1"/>
    <w:uiPriority w:val="9"/>
    <w:rsid w:val="00953AE2"/>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953AE2"/>
    <w:pPr>
      <w:spacing w:after="100" w:line="276" w:lineRule="auto"/>
    </w:pPr>
    <w:rPr>
      <w:rFonts w:eastAsiaTheme="minorEastAsia"/>
      <w:lang w:eastAsia="zh-CN"/>
    </w:rPr>
  </w:style>
  <w:style w:type="paragraph" w:styleId="TOC2">
    <w:name w:val="toc 2"/>
    <w:basedOn w:val="Normal"/>
    <w:next w:val="Normal"/>
    <w:autoRedefine/>
    <w:uiPriority w:val="39"/>
    <w:unhideWhenUsed/>
    <w:rsid w:val="00953AE2"/>
    <w:pPr>
      <w:spacing w:after="100" w:line="276" w:lineRule="auto"/>
      <w:ind w:left="220"/>
    </w:pPr>
    <w:rPr>
      <w:rFonts w:eastAsiaTheme="minorEastAsia"/>
      <w:lang w:eastAsia="zh-CN"/>
    </w:rPr>
  </w:style>
  <w:style w:type="paragraph" w:styleId="TOC3">
    <w:name w:val="toc 3"/>
    <w:basedOn w:val="Normal"/>
    <w:next w:val="Normal"/>
    <w:autoRedefine/>
    <w:uiPriority w:val="39"/>
    <w:unhideWhenUsed/>
    <w:rsid w:val="00953AE2"/>
    <w:pPr>
      <w:spacing w:after="100" w:line="276" w:lineRule="auto"/>
      <w:ind w:left="440"/>
    </w:pPr>
    <w:rPr>
      <w:rFonts w:eastAsiaTheme="minorEastAsia"/>
      <w:lang w:eastAsia="zh-CN"/>
    </w:rPr>
  </w:style>
  <w:style w:type="paragraph" w:styleId="TableofFigures">
    <w:name w:val="table of figures"/>
    <w:basedOn w:val="Normal"/>
    <w:next w:val="Normal"/>
    <w:uiPriority w:val="99"/>
    <w:unhideWhenUsed/>
    <w:rsid w:val="00953AE2"/>
    <w:pPr>
      <w:spacing w:after="0" w:line="276" w:lineRule="auto"/>
    </w:pPr>
    <w:rPr>
      <w:rFonts w:eastAsiaTheme="minorEastAsia"/>
      <w:lang w:eastAsia="zh-CN"/>
    </w:rPr>
  </w:style>
  <w:style w:type="paragraph" w:styleId="Footer">
    <w:name w:val="footer"/>
    <w:basedOn w:val="Normal"/>
    <w:link w:val="FooterChar"/>
    <w:uiPriority w:val="99"/>
    <w:unhideWhenUsed/>
    <w:rsid w:val="00F25CAA"/>
    <w:pPr>
      <w:tabs>
        <w:tab w:val="center" w:pos="4680"/>
        <w:tab w:val="right" w:pos="9360"/>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F25CAA"/>
    <w:rPr>
      <w:rFonts w:eastAsiaTheme="minorEastAsia"/>
      <w:lang w:eastAsia="zh-CN"/>
    </w:rPr>
  </w:style>
  <w:style w:type="paragraph" w:styleId="Header">
    <w:name w:val="header"/>
    <w:basedOn w:val="Normal"/>
    <w:link w:val="HeaderChar"/>
    <w:uiPriority w:val="99"/>
    <w:unhideWhenUsed/>
    <w:rsid w:val="00F25CAA"/>
    <w:pPr>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F25CAA"/>
    <w:rPr>
      <w:rFonts w:eastAsiaTheme="minorEastAsia"/>
      <w:lang w:eastAsia="zh-CN"/>
    </w:rPr>
  </w:style>
  <w:style w:type="character" w:styleId="Emphasis">
    <w:name w:val="Emphasis"/>
    <w:basedOn w:val="DefaultParagraphFont"/>
    <w:uiPriority w:val="20"/>
    <w:qFormat/>
    <w:rsid w:val="00F25CAA"/>
    <w:rPr>
      <w:rFonts w:eastAsia="Calibri"/>
      <w:b/>
      <w:iCs/>
      <w:color w:val="FFFFFF" w:themeColor="background1"/>
      <w:spacing w:val="14"/>
      <w:sz w:val="18"/>
      <w:lang w:val="en-US"/>
    </w:rPr>
  </w:style>
  <w:style w:type="paragraph" w:styleId="CommentText">
    <w:name w:val="annotation text"/>
    <w:basedOn w:val="Normal"/>
    <w:link w:val="CommentTextChar"/>
    <w:uiPriority w:val="99"/>
    <w:unhideWhenUsed/>
    <w:rsid w:val="00F25CAA"/>
    <w:pPr>
      <w:spacing w:line="240" w:lineRule="auto"/>
    </w:pPr>
    <w:rPr>
      <w:rFonts w:ascii="Helvetica" w:hAnsi="Helvetica"/>
      <w:sz w:val="20"/>
      <w:szCs w:val="20"/>
      <w:lang w:val="en-GB"/>
    </w:rPr>
  </w:style>
  <w:style w:type="character" w:customStyle="1" w:styleId="CommentTextChar">
    <w:name w:val="Comment Text Char"/>
    <w:basedOn w:val="DefaultParagraphFont"/>
    <w:link w:val="CommentText"/>
    <w:uiPriority w:val="99"/>
    <w:rsid w:val="00F25CAA"/>
    <w:rPr>
      <w:rFonts w:ascii="Helvetica" w:hAnsi="Helvetica"/>
      <w:sz w:val="20"/>
      <w:szCs w:val="20"/>
      <w:lang w:val="en-GB"/>
    </w:rPr>
  </w:style>
  <w:style w:type="paragraph" w:styleId="NoSpacing">
    <w:name w:val="No Spacing"/>
    <w:link w:val="NoSpacingChar"/>
    <w:uiPriority w:val="1"/>
    <w:qFormat/>
    <w:rsid w:val="00F25CAA"/>
    <w:pPr>
      <w:spacing w:after="120" w:line="280" w:lineRule="exact"/>
      <w:ind w:left="360" w:right="263" w:hanging="360"/>
    </w:pPr>
    <w:rPr>
      <w:rFonts w:asciiTheme="majorHAnsi" w:hAnsiTheme="majorHAnsi"/>
      <w:sz w:val="21"/>
      <w:szCs w:val="21"/>
      <w:lang w:val="en-GB"/>
    </w:rPr>
  </w:style>
  <w:style w:type="character" w:customStyle="1" w:styleId="NoSpacingChar">
    <w:name w:val="No Spacing Char"/>
    <w:basedOn w:val="DefaultParagraphFont"/>
    <w:link w:val="NoSpacing"/>
    <w:uiPriority w:val="1"/>
    <w:rsid w:val="00F25CAA"/>
    <w:rPr>
      <w:rFonts w:asciiTheme="majorHAnsi" w:hAnsiTheme="majorHAnsi"/>
      <w:sz w:val="21"/>
      <w:szCs w:val="21"/>
      <w:lang w:val="en-GB"/>
    </w:rPr>
  </w:style>
  <w:style w:type="table" w:customStyle="1" w:styleId="GridTable4-Accent529">
    <w:name w:val="Grid Table 4 - Accent 529"/>
    <w:basedOn w:val="TableNormal"/>
    <w:uiPriority w:val="49"/>
    <w:locked/>
    <w:rsid w:val="00F25CA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itle">
    <w:name w:val="Subtitle"/>
    <w:basedOn w:val="Normal"/>
    <w:next w:val="Normal"/>
    <w:link w:val="SubtitleChar"/>
    <w:uiPriority w:val="2"/>
    <w:qFormat/>
    <w:rsid w:val="00F25CAA"/>
    <w:pPr>
      <w:numPr>
        <w:ilvl w:val="1"/>
      </w:numPr>
      <w:spacing w:line="280" w:lineRule="exact"/>
    </w:pPr>
    <w:rPr>
      <w:rFonts w:asciiTheme="majorHAnsi" w:eastAsia="MS Mincho" w:hAnsiTheme="majorHAnsi" w:cstheme="majorHAnsi"/>
      <w:b/>
      <w:color w:val="5A5A5A" w:themeColor="text1" w:themeTint="A5"/>
      <w:spacing w:val="14"/>
      <w:sz w:val="18"/>
    </w:rPr>
  </w:style>
  <w:style w:type="character" w:customStyle="1" w:styleId="SubtitleChar">
    <w:name w:val="Subtitle Char"/>
    <w:basedOn w:val="DefaultParagraphFont"/>
    <w:link w:val="Subtitle"/>
    <w:uiPriority w:val="2"/>
    <w:rsid w:val="00F25CAA"/>
    <w:rPr>
      <w:rFonts w:asciiTheme="majorHAnsi" w:eastAsia="MS Mincho" w:hAnsiTheme="majorHAnsi" w:cstheme="majorHAnsi"/>
      <w:b/>
      <w:color w:val="5A5A5A" w:themeColor="text1" w:themeTint="A5"/>
      <w:spacing w:val="14"/>
      <w:sz w:val="18"/>
    </w:rPr>
  </w:style>
  <w:style w:type="table" w:styleId="TableGrid">
    <w:name w:val="Table Grid"/>
    <w:basedOn w:val="TableNormal"/>
    <w:uiPriority w:val="39"/>
    <w:rsid w:val="00F25CAA"/>
    <w:pPr>
      <w:spacing w:after="0" w:line="240" w:lineRule="auto"/>
    </w:pPr>
    <w:rPr>
      <w:rFonts w:asciiTheme="majorHAnsi" w:hAnsiTheme="majorHAnsi" w:cstheme="maj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25CAA"/>
    <w:pPr>
      <w:spacing w:after="0" w:line="240" w:lineRule="auto"/>
    </w:pPr>
    <w:rPr>
      <w:rFonts w:asciiTheme="majorHAnsi" w:hAnsiTheme="majorHAnsi" w:cstheme="majorHAnsi"/>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F25CAA"/>
    <w:pPr>
      <w:spacing w:after="0"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F25CAA"/>
    <w:rPr>
      <w:rFonts w:ascii="Segoe UI" w:eastAsiaTheme="minorEastAsia" w:hAnsi="Segoe UI" w:cs="Segoe UI"/>
      <w:sz w:val="18"/>
      <w:szCs w:val="18"/>
      <w:lang w:eastAsia="zh-CN"/>
    </w:rPr>
  </w:style>
  <w:style w:type="paragraph" w:styleId="FootnoteText">
    <w:name w:val="footnote text"/>
    <w:basedOn w:val="Normal"/>
    <w:link w:val="FootnoteTextChar"/>
    <w:uiPriority w:val="99"/>
    <w:semiHidden/>
    <w:unhideWhenUsed/>
    <w:rsid w:val="00F25CAA"/>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F25CAA"/>
    <w:rPr>
      <w:rFonts w:eastAsiaTheme="minorEastAsia"/>
      <w:sz w:val="20"/>
      <w:szCs w:val="20"/>
      <w:lang w:eastAsia="zh-CN"/>
    </w:rPr>
  </w:style>
  <w:style w:type="character" w:styleId="FootnoteReference">
    <w:name w:val="footnote reference"/>
    <w:basedOn w:val="DefaultParagraphFont"/>
    <w:uiPriority w:val="99"/>
    <w:semiHidden/>
    <w:unhideWhenUsed/>
    <w:rsid w:val="00F25CAA"/>
    <w:rPr>
      <w:vertAlign w:val="superscript"/>
    </w:rPr>
  </w:style>
  <w:style w:type="character" w:styleId="CommentReference">
    <w:name w:val="annotation reference"/>
    <w:basedOn w:val="DefaultParagraphFont"/>
    <w:uiPriority w:val="99"/>
    <w:semiHidden/>
    <w:unhideWhenUsed/>
    <w:rsid w:val="00F25CAA"/>
    <w:rPr>
      <w:sz w:val="16"/>
      <w:szCs w:val="16"/>
    </w:rPr>
  </w:style>
  <w:style w:type="paragraph" w:styleId="CommentSubject">
    <w:name w:val="annotation subject"/>
    <w:basedOn w:val="CommentText"/>
    <w:next w:val="CommentText"/>
    <w:link w:val="CommentSubjectChar"/>
    <w:uiPriority w:val="99"/>
    <w:semiHidden/>
    <w:unhideWhenUsed/>
    <w:rsid w:val="00F25CAA"/>
    <w:pPr>
      <w:spacing w:after="200"/>
    </w:pPr>
    <w:rPr>
      <w:rFonts w:asciiTheme="minorHAnsi" w:eastAsiaTheme="minorEastAsia" w:hAnsiTheme="minorHAnsi"/>
      <w:b/>
      <w:bCs/>
      <w:lang w:val="en-US" w:eastAsia="zh-CN"/>
    </w:rPr>
  </w:style>
  <w:style w:type="character" w:customStyle="1" w:styleId="CommentSubjectChar">
    <w:name w:val="Comment Subject Char"/>
    <w:basedOn w:val="CommentTextChar"/>
    <w:link w:val="CommentSubject"/>
    <w:uiPriority w:val="99"/>
    <w:semiHidden/>
    <w:rsid w:val="00F25CAA"/>
    <w:rPr>
      <w:rFonts w:ascii="Helvetica" w:eastAsiaTheme="minorEastAsia" w:hAnsi="Helvetica"/>
      <w:b/>
      <w:bCs/>
      <w:sz w:val="20"/>
      <w:szCs w:val="20"/>
      <w:lang w:val="en-GB" w:eastAsia="zh-CN"/>
    </w:rPr>
  </w:style>
  <w:style w:type="paragraph" w:styleId="TOCHeading">
    <w:name w:val="TOC Heading"/>
    <w:basedOn w:val="Heading1"/>
    <w:next w:val="Normal"/>
    <w:uiPriority w:val="39"/>
    <w:unhideWhenUsed/>
    <w:qFormat/>
    <w:rsid w:val="00F25CAA"/>
    <w:pPr>
      <w:outlineLvl w:val="9"/>
    </w:pPr>
  </w:style>
  <w:style w:type="table" w:customStyle="1" w:styleId="GridTable4-Accent111">
    <w:name w:val="Grid Table 4 - Accent 111"/>
    <w:basedOn w:val="TableNormal"/>
    <w:uiPriority w:val="49"/>
    <w:rsid w:val="00F25CAA"/>
    <w:pPr>
      <w:spacing w:after="0" w:line="240" w:lineRule="auto"/>
      <w:jc w:val="lowKashida"/>
    </w:pPr>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Caption">
    <w:name w:val="caption"/>
    <w:basedOn w:val="Normal"/>
    <w:next w:val="Normal"/>
    <w:uiPriority w:val="35"/>
    <w:unhideWhenUsed/>
    <w:qFormat/>
    <w:rsid w:val="00F25CAA"/>
    <w:pPr>
      <w:spacing w:after="200" w:line="240" w:lineRule="auto"/>
    </w:pPr>
    <w:rPr>
      <w:rFonts w:eastAsiaTheme="minorEastAsia"/>
      <w:i/>
      <w:iCs/>
      <w:color w:val="44546A" w:themeColor="text2"/>
      <w:sz w:val="18"/>
      <w:szCs w:val="18"/>
      <w:lang w:eastAsia="zh-CN"/>
    </w:rPr>
  </w:style>
  <w:style w:type="character" w:customStyle="1" w:styleId="Heading4Char">
    <w:name w:val="Heading 4 Char"/>
    <w:basedOn w:val="DefaultParagraphFont"/>
    <w:link w:val="Heading4"/>
    <w:uiPriority w:val="9"/>
    <w:rsid w:val="005730C7"/>
    <w:rPr>
      <w:rFonts w:asciiTheme="majorHAnsi" w:eastAsiaTheme="majorEastAsia" w:hAnsiTheme="majorHAnsi" w:cstheme="majorBidi"/>
      <w:i/>
      <w:iCs/>
      <w:color w:val="2E74B5" w:themeColor="accent1" w:themeShade="BF"/>
    </w:rPr>
  </w:style>
  <w:style w:type="paragraph" w:styleId="TOC4">
    <w:name w:val="toc 4"/>
    <w:basedOn w:val="Normal"/>
    <w:next w:val="Normal"/>
    <w:autoRedefine/>
    <w:uiPriority w:val="39"/>
    <w:unhideWhenUsed/>
    <w:rsid w:val="00E86BEA"/>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01">
      <w:bodyDiv w:val="1"/>
      <w:marLeft w:val="0"/>
      <w:marRight w:val="0"/>
      <w:marTop w:val="0"/>
      <w:marBottom w:val="0"/>
      <w:divBdr>
        <w:top w:val="none" w:sz="0" w:space="0" w:color="auto"/>
        <w:left w:val="none" w:sz="0" w:space="0" w:color="auto"/>
        <w:bottom w:val="none" w:sz="0" w:space="0" w:color="auto"/>
        <w:right w:val="none" w:sz="0" w:space="0" w:color="auto"/>
      </w:divBdr>
    </w:div>
    <w:div w:id="93401923">
      <w:bodyDiv w:val="1"/>
      <w:marLeft w:val="0"/>
      <w:marRight w:val="0"/>
      <w:marTop w:val="0"/>
      <w:marBottom w:val="0"/>
      <w:divBdr>
        <w:top w:val="none" w:sz="0" w:space="0" w:color="auto"/>
        <w:left w:val="none" w:sz="0" w:space="0" w:color="auto"/>
        <w:bottom w:val="none" w:sz="0" w:space="0" w:color="auto"/>
        <w:right w:val="none" w:sz="0" w:space="0" w:color="auto"/>
      </w:divBdr>
      <w:divsChild>
        <w:div w:id="459568817">
          <w:marLeft w:val="0"/>
          <w:marRight w:val="0"/>
          <w:marTop w:val="0"/>
          <w:marBottom w:val="0"/>
          <w:divBdr>
            <w:top w:val="none" w:sz="0" w:space="0" w:color="auto"/>
            <w:left w:val="none" w:sz="0" w:space="0" w:color="auto"/>
            <w:bottom w:val="none" w:sz="0" w:space="0" w:color="auto"/>
            <w:right w:val="none" w:sz="0" w:space="0" w:color="auto"/>
          </w:divBdr>
          <w:divsChild>
            <w:div w:id="316304496">
              <w:marLeft w:val="0"/>
              <w:marRight w:val="0"/>
              <w:marTop w:val="0"/>
              <w:marBottom w:val="0"/>
              <w:divBdr>
                <w:top w:val="none" w:sz="0" w:space="0" w:color="auto"/>
                <w:left w:val="none" w:sz="0" w:space="0" w:color="auto"/>
                <w:bottom w:val="none" w:sz="0" w:space="0" w:color="auto"/>
                <w:right w:val="none" w:sz="0" w:space="0" w:color="auto"/>
              </w:divBdr>
              <w:divsChild>
                <w:div w:id="1307011016">
                  <w:marLeft w:val="0"/>
                  <w:marRight w:val="0"/>
                  <w:marTop w:val="0"/>
                  <w:marBottom w:val="0"/>
                  <w:divBdr>
                    <w:top w:val="none" w:sz="0" w:space="0" w:color="auto"/>
                    <w:left w:val="none" w:sz="0" w:space="0" w:color="auto"/>
                    <w:bottom w:val="none" w:sz="0" w:space="0" w:color="auto"/>
                    <w:right w:val="none" w:sz="0" w:space="0" w:color="auto"/>
                  </w:divBdr>
                  <w:divsChild>
                    <w:div w:id="364839508">
                      <w:marLeft w:val="0"/>
                      <w:marRight w:val="0"/>
                      <w:marTop w:val="0"/>
                      <w:marBottom w:val="0"/>
                      <w:divBdr>
                        <w:top w:val="none" w:sz="0" w:space="0" w:color="auto"/>
                        <w:left w:val="none" w:sz="0" w:space="0" w:color="auto"/>
                        <w:bottom w:val="none" w:sz="0" w:space="0" w:color="auto"/>
                        <w:right w:val="none" w:sz="0" w:space="0" w:color="auto"/>
                      </w:divBdr>
                      <w:divsChild>
                        <w:div w:id="4621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65599">
      <w:bodyDiv w:val="1"/>
      <w:marLeft w:val="0"/>
      <w:marRight w:val="0"/>
      <w:marTop w:val="0"/>
      <w:marBottom w:val="0"/>
      <w:divBdr>
        <w:top w:val="none" w:sz="0" w:space="0" w:color="auto"/>
        <w:left w:val="none" w:sz="0" w:space="0" w:color="auto"/>
        <w:bottom w:val="none" w:sz="0" w:space="0" w:color="auto"/>
        <w:right w:val="none" w:sz="0" w:space="0" w:color="auto"/>
      </w:divBdr>
    </w:div>
    <w:div w:id="207688820">
      <w:bodyDiv w:val="1"/>
      <w:marLeft w:val="0"/>
      <w:marRight w:val="0"/>
      <w:marTop w:val="0"/>
      <w:marBottom w:val="0"/>
      <w:divBdr>
        <w:top w:val="none" w:sz="0" w:space="0" w:color="auto"/>
        <w:left w:val="none" w:sz="0" w:space="0" w:color="auto"/>
        <w:bottom w:val="none" w:sz="0" w:space="0" w:color="auto"/>
        <w:right w:val="none" w:sz="0" w:space="0" w:color="auto"/>
      </w:divBdr>
    </w:div>
    <w:div w:id="720858886">
      <w:bodyDiv w:val="1"/>
      <w:marLeft w:val="0"/>
      <w:marRight w:val="0"/>
      <w:marTop w:val="0"/>
      <w:marBottom w:val="0"/>
      <w:divBdr>
        <w:top w:val="none" w:sz="0" w:space="0" w:color="auto"/>
        <w:left w:val="none" w:sz="0" w:space="0" w:color="auto"/>
        <w:bottom w:val="none" w:sz="0" w:space="0" w:color="auto"/>
        <w:right w:val="none" w:sz="0" w:space="0" w:color="auto"/>
      </w:divBdr>
    </w:div>
    <w:div w:id="830146787">
      <w:bodyDiv w:val="1"/>
      <w:marLeft w:val="0"/>
      <w:marRight w:val="0"/>
      <w:marTop w:val="0"/>
      <w:marBottom w:val="0"/>
      <w:divBdr>
        <w:top w:val="none" w:sz="0" w:space="0" w:color="auto"/>
        <w:left w:val="none" w:sz="0" w:space="0" w:color="auto"/>
        <w:bottom w:val="none" w:sz="0" w:space="0" w:color="auto"/>
        <w:right w:val="none" w:sz="0" w:space="0" w:color="auto"/>
      </w:divBdr>
    </w:div>
    <w:div w:id="1255432807">
      <w:bodyDiv w:val="1"/>
      <w:marLeft w:val="0"/>
      <w:marRight w:val="0"/>
      <w:marTop w:val="0"/>
      <w:marBottom w:val="0"/>
      <w:divBdr>
        <w:top w:val="none" w:sz="0" w:space="0" w:color="auto"/>
        <w:left w:val="none" w:sz="0" w:space="0" w:color="auto"/>
        <w:bottom w:val="none" w:sz="0" w:space="0" w:color="auto"/>
        <w:right w:val="none" w:sz="0" w:space="0" w:color="auto"/>
      </w:divBdr>
    </w:div>
    <w:div w:id="1323581302">
      <w:bodyDiv w:val="1"/>
      <w:marLeft w:val="0"/>
      <w:marRight w:val="0"/>
      <w:marTop w:val="0"/>
      <w:marBottom w:val="0"/>
      <w:divBdr>
        <w:top w:val="none" w:sz="0" w:space="0" w:color="auto"/>
        <w:left w:val="none" w:sz="0" w:space="0" w:color="auto"/>
        <w:bottom w:val="none" w:sz="0" w:space="0" w:color="auto"/>
        <w:right w:val="none" w:sz="0" w:space="0" w:color="auto"/>
      </w:divBdr>
    </w:div>
    <w:div w:id="1325665630">
      <w:bodyDiv w:val="1"/>
      <w:marLeft w:val="0"/>
      <w:marRight w:val="0"/>
      <w:marTop w:val="0"/>
      <w:marBottom w:val="0"/>
      <w:divBdr>
        <w:top w:val="none" w:sz="0" w:space="0" w:color="auto"/>
        <w:left w:val="none" w:sz="0" w:space="0" w:color="auto"/>
        <w:bottom w:val="none" w:sz="0" w:space="0" w:color="auto"/>
        <w:right w:val="none" w:sz="0" w:space="0" w:color="auto"/>
      </w:divBdr>
    </w:div>
    <w:div w:id="1504660056">
      <w:bodyDiv w:val="1"/>
      <w:marLeft w:val="0"/>
      <w:marRight w:val="0"/>
      <w:marTop w:val="0"/>
      <w:marBottom w:val="0"/>
      <w:divBdr>
        <w:top w:val="none" w:sz="0" w:space="0" w:color="auto"/>
        <w:left w:val="none" w:sz="0" w:space="0" w:color="auto"/>
        <w:bottom w:val="none" w:sz="0" w:space="0" w:color="auto"/>
        <w:right w:val="none" w:sz="0" w:space="0" w:color="auto"/>
      </w:divBdr>
      <w:divsChild>
        <w:div w:id="1366906631">
          <w:marLeft w:val="0"/>
          <w:marRight w:val="0"/>
          <w:marTop w:val="0"/>
          <w:marBottom w:val="0"/>
          <w:divBdr>
            <w:top w:val="none" w:sz="0" w:space="0" w:color="auto"/>
            <w:left w:val="none" w:sz="0" w:space="0" w:color="auto"/>
            <w:bottom w:val="none" w:sz="0" w:space="0" w:color="auto"/>
            <w:right w:val="none" w:sz="0" w:space="0" w:color="auto"/>
          </w:divBdr>
          <w:divsChild>
            <w:div w:id="1783957657">
              <w:marLeft w:val="0"/>
              <w:marRight w:val="0"/>
              <w:marTop w:val="0"/>
              <w:marBottom w:val="0"/>
              <w:divBdr>
                <w:top w:val="none" w:sz="0" w:space="0" w:color="auto"/>
                <w:left w:val="none" w:sz="0" w:space="0" w:color="auto"/>
                <w:bottom w:val="none" w:sz="0" w:space="0" w:color="auto"/>
                <w:right w:val="none" w:sz="0" w:space="0" w:color="auto"/>
              </w:divBdr>
              <w:divsChild>
                <w:div w:id="551430229">
                  <w:marLeft w:val="0"/>
                  <w:marRight w:val="0"/>
                  <w:marTop w:val="0"/>
                  <w:marBottom w:val="0"/>
                  <w:divBdr>
                    <w:top w:val="none" w:sz="0" w:space="0" w:color="auto"/>
                    <w:left w:val="none" w:sz="0" w:space="0" w:color="auto"/>
                    <w:bottom w:val="none" w:sz="0" w:space="0" w:color="auto"/>
                    <w:right w:val="none" w:sz="0" w:space="0" w:color="auto"/>
                  </w:divBdr>
                  <w:divsChild>
                    <w:div w:id="1975863375">
                      <w:marLeft w:val="0"/>
                      <w:marRight w:val="0"/>
                      <w:marTop w:val="0"/>
                      <w:marBottom w:val="0"/>
                      <w:divBdr>
                        <w:top w:val="none" w:sz="0" w:space="0" w:color="auto"/>
                        <w:left w:val="none" w:sz="0" w:space="0" w:color="auto"/>
                        <w:bottom w:val="none" w:sz="0" w:space="0" w:color="auto"/>
                        <w:right w:val="none" w:sz="0" w:space="0" w:color="auto"/>
                      </w:divBdr>
                      <w:divsChild>
                        <w:div w:id="6560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438707">
      <w:bodyDiv w:val="1"/>
      <w:marLeft w:val="0"/>
      <w:marRight w:val="0"/>
      <w:marTop w:val="0"/>
      <w:marBottom w:val="0"/>
      <w:divBdr>
        <w:top w:val="none" w:sz="0" w:space="0" w:color="auto"/>
        <w:left w:val="none" w:sz="0" w:space="0" w:color="auto"/>
        <w:bottom w:val="none" w:sz="0" w:space="0" w:color="auto"/>
        <w:right w:val="none" w:sz="0" w:space="0" w:color="auto"/>
      </w:divBdr>
    </w:div>
    <w:div w:id="212981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hart" Target="charts/chart5.xml"/><Relationship Id="rId3" Type="http://schemas.openxmlformats.org/officeDocument/2006/relationships/customXml" Target="../customXml/item3.xml"/><Relationship Id="rId21" Type="http://schemas.openxmlformats.org/officeDocument/2006/relationships/chart" Target="charts/chart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apokin\Desktop\Reports\Oversupply.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apokin\Desktop\Reports\Oversupply.xlsb"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apokin\Desktop\Reports\Oversupply.xlsb"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apokin\Desktop\Reports\Oversupply.xlsb"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apokin\Desktop\Reports\Oversupply.xlsb"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apokin\Desktop\Reports\Oversupply.xlsb"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4.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apokin\Desktop\Reports\Oversupply.xlsb"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5.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apokin\Desktop\Reports\Oversupply.xlsb"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Sheet1!$A$7</c:f>
              <c:strCache>
                <c:ptCount val="1"/>
                <c:pt idx="0">
                  <c:v>Asia</c:v>
                </c:pt>
              </c:strCache>
            </c:strRef>
          </c:tx>
          <c:spPr>
            <a:ln w="28575" cap="rnd">
              <a:solidFill>
                <a:schemeClr val="accent2"/>
              </a:solidFill>
              <a:round/>
            </a:ln>
            <a:effectLst/>
          </c:spPr>
          <c:marker>
            <c:symbol val="none"/>
          </c:marker>
          <c:cat>
            <c:numRef>
              <c:f>Sheet1!$Z$4:$AI$4</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Sheet1!$Z$5:$AI$5</c:f>
              <c:numCache>
                <c:formatCode>General</c:formatCode>
                <c:ptCount val="10"/>
                <c:pt idx="0">
                  <c:v>9.0855486136552308</c:v>
                </c:pt>
                <c:pt idx="1">
                  <c:v>11.381982603105399</c:v>
                </c:pt>
                <c:pt idx="2">
                  <c:v>15.4559509232576</c:v>
                </c:pt>
                <c:pt idx="3">
                  <c:v>15.8864019036915</c:v>
                </c:pt>
                <c:pt idx="4">
                  <c:v>11.73823</c:v>
                </c:pt>
                <c:pt idx="5">
                  <c:v>5.3439399325099997</c:v>
                </c:pt>
                <c:pt idx="6">
                  <c:v>2.5753982553233898</c:v>
                </c:pt>
                <c:pt idx="7">
                  <c:v>1.8584621768727401</c:v>
                </c:pt>
                <c:pt idx="8">
                  <c:v>0.81324816766300001</c:v>
                </c:pt>
                <c:pt idx="9">
                  <c:v>2.2718806781700001</c:v>
                </c:pt>
              </c:numCache>
            </c:numRef>
          </c:val>
          <c:smooth val="0"/>
          <c:extLst>
            <c:ext xmlns:c16="http://schemas.microsoft.com/office/drawing/2014/chart" uri="{C3380CC4-5D6E-409C-BE32-E72D297353CC}">
              <c16:uniqueId val="{00000000-B697-4AE7-8406-8A3AD484E5A3}"/>
            </c:ext>
          </c:extLst>
        </c:ser>
        <c:ser>
          <c:idx val="2"/>
          <c:order val="1"/>
          <c:tx>
            <c:strRef>
              <c:f>Sheet1!$A$6</c:f>
              <c:strCache>
                <c:ptCount val="1"/>
                <c:pt idx="0">
                  <c:v>Europe</c:v>
                </c:pt>
              </c:strCache>
            </c:strRef>
          </c:tx>
          <c:spPr>
            <a:ln w="28575" cap="rnd">
              <a:solidFill>
                <a:schemeClr val="accent3"/>
              </a:solidFill>
              <a:round/>
            </a:ln>
            <a:effectLst/>
          </c:spPr>
          <c:marker>
            <c:symbol val="none"/>
          </c:marker>
          <c:cat>
            <c:numRef>
              <c:f>Sheet1!$Z$4:$AI$4</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Sheet1!$Z$6:$AI$6</c:f>
              <c:numCache>
                <c:formatCode>General</c:formatCode>
                <c:ptCount val="10"/>
                <c:pt idx="0">
                  <c:v>5.3483656443793901</c:v>
                </c:pt>
                <c:pt idx="1">
                  <c:v>7.1977858009991502</c:v>
                </c:pt>
                <c:pt idx="2">
                  <c:v>9.7131258952489894</c:v>
                </c:pt>
                <c:pt idx="3">
                  <c:v>9.9942982884863998</c:v>
                </c:pt>
                <c:pt idx="4">
                  <c:v>11.055396898463499</c:v>
                </c:pt>
                <c:pt idx="5">
                  <c:v>8.4040310750097298</c:v>
                </c:pt>
                <c:pt idx="6">
                  <c:v>6.5933893622817301</c:v>
                </c:pt>
                <c:pt idx="7">
                  <c:v>4.6777460288231296</c:v>
                </c:pt>
                <c:pt idx="8">
                  <c:v>5.4499999999900002</c:v>
                </c:pt>
                <c:pt idx="9">
                  <c:v>5.7440461565299996</c:v>
                </c:pt>
              </c:numCache>
            </c:numRef>
          </c:val>
          <c:smooth val="0"/>
          <c:extLst>
            <c:ext xmlns:c16="http://schemas.microsoft.com/office/drawing/2014/chart" uri="{C3380CC4-5D6E-409C-BE32-E72D297353CC}">
              <c16:uniqueId val="{00000001-B697-4AE7-8406-8A3AD484E5A3}"/>
            </c:ext>
          </c:extLst>
        </c:ser>
        <c:ser>
          <c:idx val="3"/>
          <c:order val="2"/>
          <c:tx>
            <c:strRef>
              <c:f>Sheet1!$A$5</c:f>
              <c:strCache>
                <c:ptCount val="1"/>
                <c:pt idx="0">
                  <c:v>Latin America</c:v>
                </c:pt>
              </c:strCache>
            </c:strRef>
          </c:tx>
          <c:spPr>
            <a:ln w="28575" cap="rnd">
              <a:solidFill>
                <a:schemeClr val="accent4"/>
              </a:solidFill>
              <a:round/>
            </a:ln>
            <a:effectLst/>
          </c:spPr>
          <c:marker>
            <c:symbol val="none"/>
          </c:marker>
          <c:cat>
            <c:numRef>
              <c:f>Sheet1!$Z$4:$AI$4</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Sheet1!$Z$7:$AI$7</c:f>
              <c:numCache>
                <c:formatCode>General</c:formatCode>
                <c:ptCount val="10"/>
                <c:pt idx="0">
                  <c:v>6.6636672797526897</c:v>
                </c:pt>
                <c:pt idx="1">
                  <c:v>8.0676887048348291</c:v>
                </c:pt>
                <c:pt idx="2">
                  <c:v>13.7584909711995</c:v>
                </c:pt>
                <c:pt idx="3">
                  <c:v>15.492262104228001</c:v>
                </c:pt>
                <c:pt idx="4">
                  <c:v>16.452275680331301</c:v>
                </c:pt>
                <c:pt idx="5">
                  <c:v>15.099393957368401</c:v>
                </c:pt>
                <c:pt idx="6">
                  <c:v>7.8718871403382202</c:v>
                </c:pt>
                <c:pt idx="7">
                  <c:v>5.4914961</c:v>
                </c:pt>
                <c:pt idx="8">
                  <c:v>6.66</c:v>
                </c:pt>
                <c:pt idx="9">
                  <c:v>6.4593283358500004</c:v>
                </c:pt>
              </c:numCache>
            </c:numRef>
          </c:val>
          <c:smooth val="0"/>
          <c:extLst>
            <c:ext xmlns:c16="http://schemas.microsoft.com/office/drawing/2014/chart" uri="{C3380CC4-5D6E-409C-BE32-E72D297353CC}">
              <c16:uniqueId val="{00000002-B697-4AE7-8406-8A3AD484E5A3}"/>
            </c:ext>
          </c:extLst>
        </c:ser>
        <c:dLbls>
          <c:showLegendKey val="0"/>
          <c:showVal val="0"/>
          <c:showCatName val="0"/>
          <c:showSerName val="0"/>
          <c:showPercent val="0"/>
          <c:showBubbleSize val="0"/>
        </c:dLbls>
        <c:smooth val="0"/>
        <c:axId val="1043877775"/>
        <c:axId val="1043878607"/>
      </c:lineChart>
      <c:catAx>
        <c:axId val="1043877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3878607"/>
        <c:crosses val="autoZero"/>
        <c:auto val="1"/>
        <c:lblAlgn val="ctr"/>
        <c:lblOffset val="100"/>
        <c:noMultiLvlLbl val="0"/>
      </c:catAx>
      <c:valAx>
        <c:axId val="104387860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3877775"/>
        <c:crosses val="autoZero"/>
        <c:crossBetween val="between"/>
        <c:majorUnit val="2.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23168376467951"/>
          <c:y val="5.0925925925925923E-2"/>
          <c:w val="0.72847585179270868"/>
          <c:h val="0.67374287544200517"/>
        </c:manualLayout>
      </c:layout>
      <c:scatterChart>
        <c:scatterStyle val="smoothMarker"/>
        <c:varyColors val="0"/>
        <c:ser>
          <c:idx val="1"/>
          <c:order val="0"/>
          <c:tx>
            <c:v>2018</c:v>
          </c:tx>
          <c:spPr>
            <a:ln w="19050" cap="rnd">
              <a:solidFill>
                <a:schemeClr val="accent2"/>
              </a:solidFill>
              <a:round/>
            </a:ln>
            <a:effectLst/>
          </c:spPr>
          <c:marker>
            <c:symbol val="none"/>
          </c:marker>
          <c:xVal>
            <c:numRef>
              <c:f>Japan!$U$51:$U$94</c:f>
              <c:numCache>
                <c:formatCode>0.0</c:formatCode>
                <c:ptCount val="44"/>
                <c:pt idx="0">
                  <c:v>1.381</c:v>
                </c:pt>
                <c:pt idx="1">
                  <c:v>7.1313800000000001</c:v>
                </c:pt>
                <c:pt idx="2">
                  <c:v>22.883020000000002</c:v>
                </c:pt>
                <c:pt idx="3">
                  <c:v>22.883020000000002</c:v>
                </c:pt>
                <c:pt idx="4">
                  <c:v>40.837919999999997</c:v>
                </c:pt>
                <c:pt idx="5">
                  <c:v>40.837919999999997</c:v>
                </c:pt>
                <c:pt idx="6">
                  <c:v>40.837919999999997</c:v>
                </c:pt>
                <c:pt idx="7">
                  <c:v>40.837919999999997</c:v>
                </c:pt>
                <c:pt idx="8">
                  <c:v>47.676049999999996</c:v>
                </c:pt>
                <c:pt idx="9">
                  <c:v>47.693599999999996</c:v>
                </c:pt>
                <c:pt idx="10">
                  <c:v>50.446289999999998</c:v>
                </c:pt>
                <c:pt idx="11">
                  <c:v>50.446289999999998</c:v>
                </c:pt>
                <c:pt idx="12">
                  <c:v>69.600979999999993</c:v>
                </c:pt>
                <c:pt idx="13">
                  <c:v>72.378719999999987</c:v>
                </c:pt>
                <c:pt idx="14">
                  <c:v>76.793479999999988</c:v>
                </c:pt>
                <c:pt idx="15">
                  <c:v>78.428999999999988</c:v>
                </c:pt>
                <c:pt idx="16">
                  <c:v>88.784319999999994</c:v>
                </c:pt>
                <c:pt idx="17">
                  <c:v>89.793419999999998</c:v>
                </c:pt>
                <c:pt idx="18">
                  <c:v>89.793419999999998</c:v>
                </c:pt>
                <c:pt idx="19">
                  <c:v>95.538049999999998</c:v>
                </c:pt>
                <c:pt idx="20">
                  <c:v>102.34935</c:v>
                </c:pt>
                <c:pt idx="21">
                  <c:v>102.56475</c:v>
                </c:pt>
                <c:pt idx="22">
                  <c:v>107.14913</c:v>
                </c:pt>
                <c:pt idx="23">
                  <c:v>109.29848</c:v>
                </c:pt>
                <c:pt idx="24">
                  <c:v>109.29848</c:v>
                </c:pt>
                <c:pt idx="25">
                  <c:v>109.29848</c:v>
                </c:pt>
                <c:pt idx="26">
                  <c:v>109.29848</c:v>
                </c:pt>
                <c:pt idx="27">
                  <c:v>109.29848</c:v>
                </c:pt>
                <c:pt idx="28">
                  <c:v>109.29848</c:v>
                </c:pt>
                <c:pt idx="29">
                  <c:v>109.42124</c:v>
                </c:pt>
                <c:pt idx="30">
                  <c:v>109.42124</c:v>
                </c:pt>
                <c:pt idx="31">
                  <c:v>109.53809</c:v>
                </c:pt>
                <c:pt idx="32">
                  <c:v>113.03643</c:v>
                </c:pt>
                <c:pt idx="33">
                  <c:v>116.38587</c:v>
                </c:pt>
                <c:pt idx="34">
                  <c:v>125.03973999999999</c:v>
                </c:pt>
                <c:pt idx="35">
                  <c:v>125.36834999999999</c:v>
                </c:pt>
                <c:pt idx="36">
                  <c:v>125.36834999999999</c:v>
                </c:pt>
                <c:pt idx="37">
                  <c:v>125.36834999999999</c:v>
                </c:pt>
                <c:pt idx="38">
                  <c:v>136.33828</c:v>
                </c:pt>
                <c:pt idx="39">
                  <c:v>136.79513</c:v>
                </c:pt>
                <c:pt idx="40">
                  <c:v>136.79513</c:v>
                </c:pt>
                <c:pt idx="41">
                  <c:v>143.93859</c:v>
                </c:pt>
                <c:pt idx="42">
                  <c:v>146.40467000000001</c:v>
                </c:pt>
                <c:pt idx="43">
                  <c:v>146.40467000000001</c:v>
                </c:pt>
              </c:numCache>
            </c:numRef>
          </c:xVal>
          <c:yVal>
            <c:numRef>
              <c:f>Japan!$R$51:$R$94</c:f>
              <c:numCache>
                <c:formatCode>0.0</c:formatCode>
                <c:ptCount val="44"/>
                <c:pt idx="0">
                  <c:v>-1.43424018489384</c:v>
                </c:pt>
                <c:pt idx="1">
                  <c:v>-0.73884715045777005</c:v>
                </c:pt>
                <c:pt idx="2">
                  <c:v>0.168930953560295</c:v>
                </c:pt>
                <c:pt idx="3">
                  <c:v>0.438107220895737</c:v>
                </c:pt>
                <c:pt idx="4">
                  <c:v>0.478241812130901</c:v>
                </c:pt>
                <c:pt idx="5">
                  <c:v>0.87011095065945798</c:v>
                </c:pt>
                <c:pt idx="6">
                  <c:v>0.902309338468264</c:v>
                </c:pt>
                <c:pt idx="7">
                  <c:v>1.11915747806773</c:v>
                </c:pt>
                <c:pt idx="8">
                  <c:v>1.23449641660038</c:v>
                </c:pt>
                <c:pt idx="9">
                  <c:v>1.49796924046554</c:v>
                </c:pt>
                <c:pt idx="10">
                  <c:v>1.5636384241349099</c:v>
                </c:pt>
                <c:pt idx="11">
                  <c:v>1.58677358100429</c:v>
                </c:pt>
                <c:pt idx="12">
                  <c:v>1.6456573377047501</c:v>
                </c:pt>
                <c:pt idx="13">
                  <c:v>1.64814809009208</c:v>
                </c:pt>
                <c:pt idx="14">
                  <c:v>1.7051055698587401</c:v>
                </c:pt>
                <c:pt idx="15">
                  <c:v>1.73444236996669</c:v>
                </c:pt>
                <c:pt idx="16">
                  <c:v>1.80024095334908</c:v>
                </c:pt>
                <c:pt idx="17">
                  <c:v>1.91425413403369</c:v>
                </c:pt>
                <c:pt idx="18">
                  <c:v>1.93028424147288</c:v>
                </c:pt>
                <c:pt idx="19">
                  <c:v>1.9877488062197299</c:v>
                </c:pt>
                <c:pt idx="20">
                  <c:v>2.0287624540159901</c:v>
                </c:pt>
                <c:pt idx="21">
                  <c:v>2.0806342786769401</c:v>
                </c:pt>
                <c:pt idx="22">
                  <c:v>2.1972942687473598</c:v>
                </c:pt>
                <c:pt idx="23">
                  <c:v>2.2854291068614399</c:v>
                </c:pt>
                <c:pt idx="24">
                  <c:v>2.4097870938543999</c:v>
                </c:pt>
                <c:pt idx="25">
                  <c:v>2.5555582938483101</c:v>
                </c:pt>
                <c:pt idx="26">
                  <c:v>2.56030941976723</c:v>
                </c:pt>
                <c:pt idx="27">
                  <c:v>2.8289022386679101</c:v>
                </c:pt>
                <c:pt idx="28">
                  <c:v>3.0828504265265102</c:v>
                </c:pt>
                <c:pt idx="29">
                  <c:v>3.1188630365525798</c:v>
                </c:pt>
                <c:pt idx="30">
                  <c:v>3.2849084906061701</c:v>
                </c:pt>
                <c:pt idx="31">
                  <c:v>3.3131569560794301</c:v>
                </c:pt>
                <c:pt idx="32">
                  <c:v>3.6735893184196402</c:v>
                </c:pt>
                <c:pt idx="33">
                  <c:v>4.2444177088274797</c:v>
                </c:pt>
                <c:pt idx="34">
                  <c:v>4.5625835214051804</c:v>
                </c:pt>
                <c:pt idx="35">
                  <c:v>4.6227470487795896</c:v>
                </c:pt>
                <c:pt idx="36">
                  <c:v>4.7284461789700396</c:v>
                </c:pt>
                <c:pt idx="37">
                  <c:v>4.8299233335563301</c:v>
                </c:pt>
                <c:pt idx="38">
                  <c:v>4.8358505430398502</c:v>
                </c:pt>
                <c:pt idx="39">
                  <c:v>4.9711806676780599</c:v>
                </c:pt>
                <c:pt idx="40">
                  <c:v>5.1275577551054701</c:v>
                </c:pt>
                <c:pt idx="41">
                  <c:v>5.2293155823778896</c:v>
                </c:pt>
                <c:pt idx="42">
                  <c:v>9.2080108157699598</c:v>
                </c:pt>
                <c:pt idx="43">
                  <c:v>9.2392414887089398</c:v>
                </c:pt>
              </c:numCache>
            </c:numRef>
          </c:yVal>
          <c:smooth val="1"/>
          <c:extLst>
            <c:ext xmlns:c16="http://schemas.microsoft.com/office/drawing/2014/chart" uri="{C3380CC4-5D6E-409C-BE32-E72D297353CC}">
              <c16:uniqueId val="{00000000-2515-4689-8AA4-3745EA994801}"/>
            </c:ext>
          </c:extLst>
        </c:ser>
        <c:ser>
          <c:idx val="0"/>
          <c:order val="1"/>
          <c:tx>
            <c:v>2025</c:v>
          </c:tx>
          <c:spPr>
            <a:ln w="19050" cap="rnd">
              <a:solidFill>
                <a:schemeClr val="accent1"/>
              </a:solidFill>
              <a:round/>
            </a:ln>
            <a:effectLst/>
          </c:spPr>
          <c:marker>
            <c:symbol val="none"/>
          </c:marker>
          <c:xVal>
            <c:numRef>
              <c:f>Japan!$U$2:$U$47</c:f>
              <c:numCache>
                <c:formatCode>0.0</c:formatCode>
                <c:ptCount val="46"/>
                <c:pt idx="0">
                  <c:v>0.82943999999999996</c:v>
                </c:pt>
                <c:pt idx="1">
                  <c:v>0.82943999999999996</c:v>
                </c:pt>
                <c:pt idx="2">
                  <c:v>12.260120000000001</c:v>
                </c:pt>
                <c:pt idx="3">
                  <c:v>12.260120000000001</c:v>
                </c:pt>
                <c:pt idx="4">
                  <c:v>26.095600000000001</c:v>
                </c:pt>
                <c:pt idx="5">
                  <c:v>30.995420000000003</c:v>
                </c:pt>
                <c:pt idx="6">
                  <c:v>33.032340000000005</c:v>
                </c:pt>
                <c:pt idx="7">
                  <c:v>37.497000000000007</c:v>
                </c:pt>
                <c:pt idx="8">
                  <c:v>42.580040000000004</c:v>
                </c:pt>
                <c:pt idx="9">
                  <c:v>52.166550000000001</c:v>
                </c:pt>
                <c:pt idx="10">
                  <c:v>57.354460000000003</c:v>
                </c:pt>
                <c:pt idx="11">
                  <c:v>64.414490000000001</c:v>
                </c:pt>
                <c:pt idx="12">
                  <c:v>74.969790000000003</c:v>
                </c:pt>
                <c:pt idx="13">
                  <c:v>74.969790000000003</c:v>
                </c:pt>
                <c:pt idx="14">
                  <c:v>78.912590000000009</c:v>
                </c:pt>
                <c:pt idx="15">
                  <c:v>80.791410000000013</c:v>
                </c:pt>
                <c:pt idx="16">
                  <c:v>80.791410000000013</c:v>
                </c:pt>
                <c:pt idx="17">
                  <c:v>84.736290000000011</c:v>
                </c:pt>
                <c:pt idx="18">
                  <c:v>84.736290000000011</c:v>
                </c:pt>
                <c:pt idx="19">
                  <c:v>87.041690000000017</c:v>
                </c:pt>
                <c:pt idx="20">
                  <c:v>87.041690000000017</c:v>
                </c:pt>
                <c:pt idx="21">
                  <c:v>87.041690000000017</c:v>
                </c:pt>
                <c:pt idx="22">
                  <c:v>87.041690000000017</c:v>
                </c:pt>
                <c:pt idx="23">
                  <c:v>87.041690000000017</c:v>
                </c:pt>
                <c:pt idx="24">
                  <c:v>87.041690000000017</c:v>
                </c:pt>
                <c:pt idx="25">
                  <c:v>87.041690000000017</c:v>
                </c:pt>
                <c:pt idx="26">
                  <c:v>87.041690000000017</c:v>
                </c:pt>
                <c:pt idx="27">
                  <c:v>87.041690000000017</c:v>
                </c:pt>
                <c:pt idx="28">
                  <c:v>87.041690000000017</c:v>
                </c:pt>
                <c:pt idx="29">
                  <c:v>88.151190000000014</c:v>
                </c:pt>
                <c:pt idx="30">
                  <c:v>88.151190000000014</c:v>
                </c:pt>
                <c:pt idx="31">
                  <c:v>88.151190000000014</c:v>
                </c:pt>
                <c:pt idx="32">
                  <c:v>88.151190000000014</c:v>
                </c:pt>
                <c:pt idx="33">
                  <c:v>88.151190000000014</c:v>
                </c:pt>
                <c:pt idx="34">
                  <c:v>88.151190000000014</c:v>
                </c:pt>
                <c:pt idx="35">
                  <c:v>88.151190000000014</c:v>
                </c:pt>
                <c:pt idx="36">
                  <c:v>88.151190000000014</c:v>
                </c:pt>
                <c:pt idx="37">
                  <c:v>88.151190000000014</c:v>
                </c:pt>
                <c:pt idx="38">
                  <c:v>88.151190000000014</c:v>
                </c:pt>
                <c:pt idx="39">
                  <c:v>88.151190000000014</c:v>
                </c:pt>
                <c:pt idx="40">
                  <c:v>88.151190000000014</c:v>
                </c:pt>
                <c:pt idx="41">
                  <c:v>88.151190000000014</c:v>
                </c:pt>
                <c:pt idx="42">
                  <c:v>107.72754000000002</c:v>
                </c:pt>
                <c:pt idx="43">
                  <c:v>107.72754000000002</c:v>
                </c:pt>
                <c:pt idx="44">
                  <c:v>107.72754000000002</c:v>
                </c:pt>
                <c:pt idx="45">
                  <c:v>109.62576000000001</c:v>
                </c:pt>
              </c:numCache>
            </c:numRef>
          </c:xVal>
          <c:yVal>
            <c:numRef>
              <c:f>Japan!$R$2:$R$47</c:f>
              <c:numCache>
                <c:formatCode>0.0</c:formatCode>
                <c:ptCount val="46"/>
                <c:pt idx="0">
                  <c:v>0</c:v>
                </c:pt>
                <c:pt idx="1">
                  <c:v>0</c:v>
                </c:pt>
                <c:pt idx="2">
                  <c:v>0.26190116021384002</c:v>
                </c:pt>
                <c:pt idx="3">
                  <c:v>0.42802224733413802</c:v>
                </c:pt>
                <c:pt idx="4">
                  <c:v>0.45228164350730699</c:v>
                </c:pt>
                <c:pt idx="5">
                  <c:v>0.51329565203094196</c:v>
                </c:pt>
                <c:pt idx="6">
                  <c:v>0.903705060284131</c:v>
                </c:pt>
                <c:pt idx="7">
                  <c:v>1.28028134138559</c:v>
                </c:pt>
                <c:pt idx="8">
                  <c:v>1.99691927541698</c:v>
                </c:pt>
                <c:pt idx="9">
                  <c:v>2.0305119305819801</c:v>
                </c:pt>
                <c:pt idx="10">
                  <c:v>2.0693690994909999</c:v>
                </c:pt>
                <c:pt idx="11">
                  <c:v>2.0724324656285802</c:v>
                </c:pt>
                <c:pt idx="12">
                  <c:v>2.1965255581484602</c:v>
                </c:pt>
                <c:pt idx="13">
                  <c:v>2.2454779166677699</c:v>
                </c:pt>
                <c:pt idx="14">
                  <c:v>2.2920630833298401</c:v>
                </c:pt>
                <c:pt idx="15">
                  <c:v>2.3130277088274802</c:v>
                </c:pt>
                <c:pt idx="16">
                  <c:v>2.3636518587416102</c:v>
                </c:pt>
                <c:pt idx="17">
                  <c:v>2.4526085366164101</c:v>
                </c:pt>
                <c:pt idx="18">
                  <c:v>2.6069388898297099</c:v>
                </c:pt>
                <c:pt idx="19">
                  <c:v>2.7641610510811998</c:v>
                </c:pt>
                <c:pt idx="20">
                  <c:v>2.84458572135398</c:v>
                </c:pt>
                <c:pt idx="21">
                  <c:v>2.9481854582866598</c:v>
                </c:pt>
                <c:pt idx="22">
                  <c:v>2.9774531371204001</c:v>
                </c:pt>
                <c:pt idx="23">
                  <c:v>3.17972654852624</c:v>
                </c:pt>
                <c:pt idx="24">
                  <c:v>3.2699689577849198</c:v>
                </c:pt>
                <c:pt idx="25">
                  <c:v>3.7049012520696301</c:v>
                </c:pt>
                <c:pt idx="26">
                  <c:v>3.8045855240359798</c:v>
                </c:pt>
                <c:pt idx="27">
                  <c:v>3.9080557380635699</c:v>
                </c:pt>
                <c:pt idx="28">
                  <c:v>4.3133923172759303</c:v>
                </c:pt>
                <c:pt idx="29">
                  <c:v>4.5232179188967798</c:v>
                </c:pt>
                <c:pt idx="30">
                  <c:v>4.59486609613423</c:v>
                </c:pt>
                <c:pt idx="31">
                  <c:v>4.7147991006604997</c:v>
                </c:pt>
                <c:pt idx="32">
                  <c:v>5.0262294663374298</c:v>
                </c:pt>
                <c:pt idx="33">
                  <c:v>5.2315173835683098</c:v>
                </c:pt>
                <c:pt idx="34">
                  <c:v>5.5962397089872802</c:v>
                </c:pt>
                <c:pt idx="35">
                  <c:v>5.8612941567171601</c:v>
                </c:pt>
                <c:pt idx="36">
                  <c:v>5.8710556266078999</c:v>
                </c:pt>
                <c:pt idx="37">
                  <c:v>5.8933549131912804</c:v>
                </c:pt>
                <c:pt idx="38">
                  <c:v>5.9223445838437598</c:v>
                </c:pt>
                <c:pt idx="39">
                  <c:v>5.98757769838834</c:v>
                </c:pt>
                <c:pt idx="40">
                  <c:v>6.3274734557237302</c:v>
                </c:pt>
                <c:pt idx="41">
                  <c:v>6.4115109202718701</c:v>
                </c:pt>
                <c:pt idx="42">
                  <c:v>7.1794597162545299</c:v>
                </c:pt>
                <c:pt idx="43">
                  <c:v>7.3715812893328696</c:v>
                </c:pt>
                <c:pt idx="44">
                  <c:v>7.83888500491706</c:v>
                </c:pt>
                <c:pt idx="45">
                  <c:v>8.8515684546415692</c:v>
                </c:pt>
              </c:numCache>
            </c:numRef>
          </c:yVal>
          <c:smooth val="1"/>
          <c:extLst>
            <c:ext xmlns:c16="http://schemas.microsoft.com/office/drawing/2014/chart" uri="{C3380CC4-5D6E-409C-BE32-E72D297353CC}">
              <c16:uniqueId val="{00000001-2515-4689-8AA4-3745EA994801}"/>
            </c:ext>
          </c:extLst>
        </c:ser>
        <c:ser>
          <c:idx val="2"/>
          <c:order val="2"/>
          <c:tx>
            <c:v>2040</c:v>
          </c:tx>
          <c:spPr>
            <a:ln w="19050" cap="rnd">
              <a:solidFill>
                <a:schemeClr val="accent3"/>
              </a:solidFill>
              <a:round/>
            </a:ln>
            <a:effectLst/>
          </c:spPr>
          <c:marker>
            <c:symbol val="none"/>
          </c:marker>
          <c:xVal>
            <c:numRef>
              <c:f>Japan!$U$97:$U$145</c:f>
              <c:numCache>
                <c:formatCode>0.0</c:formatCode>
                <c:ptCount val="49"/>
                <c:pt idx="0">
                  <c:v>13.83548</c:v>
                </c:pt>
                <c:pt idx="1">
                  <c:v>13.83548</c:v>
                </c:pt>
                <c:pt idx="2">
                  <c:v>13.83548</c:v>
                </c:pt>
                <c:pt idx="3">
                  <c:v>13.83548</c:v>
                </c:pt>
                <c:pt idx="4">
                  <c:v>13.83548</c:v>
                </c:pt>
                <c:pt idx="5">
                  <c:v>14.9755</c:v>
                </c:pt>
                <c:pt idx="6">
                  <c:v>14.9755</c:v>
                </c:pt>
                <c:pt idx="7">
                  <c:v>18.951050000000002</c:v>
                </c:pt>
                <c:pt idx="8">
                  <c:v>18.951050000000002</c:v>
                </c:pt>
                <c:pt idx="9">
                  <c:v>18.951050000000002</c:v>
                </c:pt>
                <c:pt idx="10">
                  <c:v>20.544940000000004</c:v>
                </c:pt>
                <c:pt idx="11">
                  <c:v>20.544940000000004</c:v>
                </c:pt>
                <c:pt idx="12">
                  <c:v>20.544940000000004</c:v>
                </c:pt>
                <c:pt idx="13">
                  <c:v>20.924180000000003</c:v>
                </c:pt>
                <c:pt idx="14">
                  <c:v>20.924180000000003</c:v>
                </c:pt>
                <c:pt idx="15">
                  <c:v>38.23518</c:v>
                </c:pt>
                <c:pt idx="16">
                  <c:v>43.926229999999997</c:v>
                </c:pt>
                <c:pt idx="17">
                  <c:v>43.926229999999997</c:v>
                </c:pt>
                <c:pt idx="18">
                  <c:v>43.926229999999997</c:v>
                </c:pt>
                <c:pt idx="19">
                  <c:v>45.519279999999995</c:v>
                </c:pt>
                <c:pt idx="20">
                  <c:v>45.519279999999995</c:v>
                </c:pt>
                <c:pt idx="21">
                  <c:v>45.519279999999995</c:v>
                </c:pt>
                <c:pt idx="22">
                  <c:v>45.519279999999995</c:v>
                </c:pt>
                <c:pt idx="23">
                  <c:v>45.519279999999995</c:v>
                </c:pt>
                <c:pt idx="24">
                  <c:v>45.519279999999995</c:v>
                </c:pt>
                <c:pt idx="25">
                  <c:v>45.519279999999995</c:v>
                </c:pt>
                <c:pt idx="26">
                  <c:v>45.519279999999995</c:v>
                </c:pt>
                <c:pt idx="27">
                  <c:v>95.324099999999987</c:v>
                </c:pt>
                <c:pt idx="28">
                  <c:v>95.324099999999987</c:v>
                </c:pt>
                <c:pt idx="29">
                  <c:v>95.324099999999987</c:v>
                </c:pt>
                <c:pt idx="30">
                  <c:v>96.919329999999988</c:v>
                </c:pt>
                <c:pt idx="31">
                  <c:v>96.919329999999988</c:v>
                </c:pt>
                <c:pt idx="32">
                  <c:v>96.919329999999988</c:v>
                </c:pt>
                <c:pt idx="33">
                  <c:v>96.919329999999988</c:v>
                </c:pt>
                <c:pt idx="34">
                  <c:v>96.919329999999988</c:v>
                </c:pt>
                <c:pt idx="35">
                  <c:v>96.919329999999988</c:v>
                </c:pt>
                <c:pt idx="36">
                  <c:v>98.817549999999983</c:v>
                </c:pt>
                <c:pt idx="37">
                  <c:v>98.817549999999983</c:v>
                </c:pt>
                <c:pt idx="38">
                  <c:v>104.75365999999998</c:v>
                </c:pt>
                <c:pt idx="39">
                  <c:v>104.75365999999998</c:v>
                </c:pt>
                <c:pt idx="40">
                  <c:v>104.75365999999998</c:v>
                </c:pt>
                <c:pt idx="41">
                  <c:v>104.75365999999998</c:v>
                </c:pt>
                <c:pt idx="42">
                  <c:v>104.75365999999998</c:v>
                </c:pt>
                <c:pt idx="43">
                  <c:v>104.75365999999998</c:v>
                </c:pt>
                <c:pt idx="44">
                  <c:v>104.75365999999998</c:v>
                </c:pt>
                <c:pt idx="45">
                  <c:v>104.75365999999998</c:v>
                </c:pt>
                <c:pt idx="46">
                  <c:v>104.75365999999998</c:v>
                </c:pt>
                <c:pt idx="47">
                  <c:v>104.75365999999998</c:v>
                </c:pt>
                <c:pt idx="48">
                  <c:v>104.75365999999998</c:v>
                </c:pt>
              </c:numCache>
            </c:numRef>
          </c:xVal>
          <c:yVal>
            <c:numRef>
              <c:f>Japan!$R$97:$R$145</c:f>
              <c:numCache>
                <c:formatCode>0.0</c:formatCode>
                <c:ptCount val="49"/>
                <c:pt idx="0">
                  <c:v>0.76056854700937504</c:v>
                </c:pt>
                <c:pt idx="1">
                  <c:v>0.82305480099297101</c:v>
                </c:pt>
                <c:pt idx="2">
                  <c:v>1.595266287626</c:v>
                </c:pt>
                <c:pt idx="3">
                  <c:v>1.8116035810042901</c:v>
                </c:pt>
                <c:pt idx="4">
                  <c:v>1.8206637272028501</c:v>
                </c:pt>
                <c:pt idx="5">
                  <c:v>2.0773279103084001</c:v>
                </c:pt>
                <c:pt idx="6">
                  <c:v>2.3823173447086101</c:v>
                </c:pt>
                <c:pt idx="7">
                  <c:v>2.4877093474195999</c:v>
                </c:pt>
                <c:pt idx="8">
                  <c:v>2.8076104965248501</c:v>
                </c:pt>
                <c:pt idx="9">
                  <c:v>2.8385782529372001</c:v>
                </c:pt>
                <c:pt idx="10">
                  <c:v>2.9443070402148601</c:v>
                </c:pt>
                <c:pt idx="11">
                  <c:v>3.1522085447211499</c:v>
                </c:pt>
                <c:pt idx="12" formatCode="General">
                  <c:v>3.2648765945656799</c:v>
                </c:pt>
                <c:pt idx="13" formatCode="General">
                  <c:v>3.3446400071984401</c:v>
                </c:pt>
                <c:pt idx="14" formatCode="General">
                  <c:v>3.5435926864593101</c:v>
                </c:pt>
                <c:pt idx="15" formatCode="General">
                  <c:v>3.6825770529317601</c:v>
                </c:pt>
                <c:pt idx="16" formatCode="General">
                  <c:v>3.7038644489679902</c:v>
                </c:pt>
                <c:pt idx="17" formatCode="General">
                  <c:v>3.8192824926248399</c:v>
                </c:pt>
                <c:pt idx="18" formatCode="General">
                  <c:v>3.9775702033178799</c:v>
                </c:pt>
                <c:pt idx="19" formatCode="General">
                  <c:v>4.0433796543950402</c:v>
                </c:pt>
                <c:pt idx="20" formatCode="General">
                  <c:v>4.1605417689509796</c:v>
                </c:pt>
                <c:pt idx="21" formatCode="General">
                  <c:v>4.4817056853843704</c:v>
                </c:pt>
                <c:pt idx="22" formatCode="General">
                  <c:v>4.5921429423251796</c:v>
                </c:pt>
                <c:pt idx="23" formatCode="General">
                  <c:v>4.6404930724128004</c:v>
                </c:pt>
                <c:pt idx="24" formatCode="General">
                  <c:v>4.6900633127086797</c:v>
                </c:pt>
                <c:pt idx="25" formatCode="General">
                  <c:v>4.7396470103583797</c:v>
                </c:pt>
                <c:pt idx="26" formatCode="General">
                  <c:v>4.7683421047615102</c:v>
                </c:pt>
                <c:pt idx="27" formatCode="General">
                  <c:v>4.8642133067148601</c:v>
                </c:pt>
                <c:pt idx="28" formatCode="General">
                  <c:v>5.0758023342459397</c:v>
                </c:pt>
                <c:pt idx="29" formatCode="General">
                  <c:v>5.1787672993151199</c:v>
                </c:pt>
                <c:pt idx="30" formatCode="General">
                  <c:v>5.4969428697275298</c:v>
                </c:pt>
                <c:pt idx="31" formatCode="General">
                  <c:v>5.8781102543039196</c:v>
                </c:pt>
                <c:pt idx="32" formatCode="General">
                  <c:v>5.95153193059953</c:v>
                </c:pt>
                <c:pt idx="33" formatCode="General">
                  <c:v>5.9536891097535296</c:v>
                </c:pt>
                <c:pt idx="34" formatCode="General">
                  <c:v>6.0892817812501701</c:v>
                </c:pt>
                <c:pt idx="35" formatCode="General">
                  <c:v>6.2664592483331303</c:v>
                </c:pt>
                <c:pt idx="36" formatCode="General">
                  <c:v>6.3006940200121901</c:v>
                </c:pt>
                <c:pt idx="37" formatCode="General">
                  <c:v>6.5250346492493598</c:v>
                </c:pt>
                <c:pt idx="38" formatCode="General">
                  <c:v>6.5358851839966396</c:v>
                </c:pt>
                <c:pt idx="39" formatCode="General">
                  <c:v>6.7539271107024197</c:v>
                </c:pt>
                <c:pt idx="40" formatCode="General">
                  <c:v>6.8785596748765396</c:v>
                </c:pt>
                <c:pt idx="41" formatCode="General">
                  <c:v>7.6175714223726896</c:v>
                </c:pt>
                <c:pt idx="42" formatCode="General">
                  <c:v>7.9670662546926101</c:v>
                </c:pt>
                <c:pt idx="43" formatCode="General">
                  <c:v>8.2076532125175294</c:v>
                </c:pt>
                <c:pt idx="44" formatCode="General">
                  <c:v>8.7692001213848805</c:v>
                </c:pt>
                <c:pt idx="45" formatCode="General">
                  <c:v>9.2480632884087104</c:v>
                </c:pt>
                <c:pt idx="46" formatCode="General">
                  <c:v>10.0167543642021</c:v>
                </c:pt>
                <c:pt idx="47" formatCode="General">
                  <c:v>10.375770237005501</c:v>
                </c:pt>
                <c:pt idx="48" formatCode="General">
                  <c:v>10.956953127038799</c:v>
                </c:pt>
              </c:numCache>
            </c:numRef>
          </c:yVal>
          <c:smooth val="1"/>
          <c:extLst>
            <c:ext xmlns:c16="http://schemas.microsoft.com/office/drawing/2014/chart" uri="{C3380CC4-5D6E-409C-BE32-E72D297353CC}">
              <c16:uniqueId val="{00000002-2515-4689-8AA4-3745EA994801}"/>
            </c:ext>
          </c:extLst>
        </c:ser>
        <c:dLbls>
          <c:showLegendKey val="0"/>
          <c:showVal val="0"/>
          <c:showCatName val="0"/>
          <c:showSerName val="0"/>
          <c:showPercent val="0"/>
          <c:showBubbleSize val="0"/>
        </c:dLbls>
        <c:axId val="1991741567"/>
        <c:axId val="1991741983"/>
      </c:scatterChart>
      <c:valAx>
        <c:axId val="1991741567"/>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1741983"/>
        <c:crosses val="autoZero"/>
        <c:crossBetween val="midCat"/>
      </c:valAx>
      <c:valAx>
        <c:axId val="1991741983"/>
        <c:scaling>
          <c:orientation val="minMax"/>
          <c:max val="10"/>
          <c:min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1741567"/>
        <c:crosses val="autoZero"/>
        <c:crossBetween val="midCat"/>
        <c:majorUnit val="1"/>
      </c:valAx>
      <c:spPr>
        <a:noFill/>
        <a:ln>
          <a:noFill/>
        </a:ln>
        <a:effectLst/>
      </c:spPr>
    </c:plotArea>
    <c:legend>
      <c:legendPos val="b"/>
      <c:layout>
        <c:manualLayout>
          <c:xMode val="edge"/>
          <c:yMode val="edge"/>
          <c:x val="0.17497299161820917"/>
          <c:y val="0.88649899623791029"/>
          <c:w val="0.74907366065566017"/>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875616115030316"/>
          <c:y val="5.0925925925925923E-2"/>
          <c:w val="0.708951374407085"/>
          <c:h val="0.71222944701122348"/>
        </c:manualLayout>
      </c:layout>
      <c:scatterChart>
        <c:scatterStyle val="smoothMarker"/>
        <c:varyColors val="0"/>
        <c:ser>
          <c:idx val="1"/>
          <c:order val="0"/>
          <c:tx>
            <c:v>2018</c:v>
          </c:tx>
          <c:spPr>
            <a:ln w="19050" cap="rnd">
              <a:solidFill>
                <a:schemeClr val="accent2"/>
              </a:solidFill>
              <a:round/>
            </a:ln>
            <a:effectLst/>
          </c:spPr>
          <c:marker>
            <c:symbol val="none"/>
          </c:marker>
          <c:xVal>
            <c:numRef>
              <c:f>Germany!$U$102:$U$146</c:f>
              <c:numCache>
                <c:formatCode>0.0</c:formatCode>
                <c:ptCount val="45"/>
                <c:pt idx="0">
                  <c:v>0.21723000000000001</c:v>
                </c:pt>
                <c:pt idx="1">
                  <c:v>0.21723000000000001</c:v>
                </c:pt>
                <c:pt idx="2">
                  <c:v>0.21723000000000001</c:v>
                </c:pt>
                <c:pt idx="3">
                  <c:v>27.216280000000001</c:v>
                </c:pt>
                <c:pt idx="4">
                  <c:v>27.216280000000001</c:v>
                </c:pt>
                <c:pt idx="5">
                  <c:v>27.216280000000001</c:v>
                </c:pt>
                <c:pt idx="6">
                  <c:v>34.52478</c:v>
                </c:pt>
                <c:pt idx="7">
                  <c:v>34.52478</c:v>
                </c:pt>
                <c:pt idx="8">
                  <c:v>57.140940000000001</c:v>
                </c:pt>
                <c:pt idx="9">
                  <c:v>57.140940000000001</c:v>
                </c:pt>
                <c:pt idx="10">
                  <c:v>57.140940000000001</c:v>
                </c:pt>
                <c:pt idx="11">
                  <c:v>57.140940000000001</c:v>
                </c:pt>
                <c:pt idx="12">
                  <c:v>57.140940000000001</c:v>
                </c:pt>
                <c:pt idx="13">
                  <c:v>57.140940000000001</c:v>
                </c:pt>
                <c:pt idx="14">
                  <c:v>57.140940000000001</c:v>
                </c:pt>
                <c:pt idx="15">
                  <c:v>57.140940000000001</c:v>
                </c:pt>
                <c:pt idx="16">
                  <c:v>57.140940000000001</c:v>
                </c:pt>
                <c:pt idx="17">
                  <c:v>57.140940000000001</c:v>
                </c:pt>
                <c:pt idx="18">
                  <c:v>57.140940000000001</c:v>
                </c:pt>
                <c:pt idx="19">
                  <c:v>57.140940000000001</c:v>
                </c:pt>
                <c:pt idx="20">
                  <c:v>57.140940000000001</c:v>
                </c:pt>
                <c:pt idx="21">
                  <c:v>57.140940000000001</c:v>
                </c:pt>
                <c:pt idx="22">
                  <c:v>57.140940000000001</c:v>
                </c:pt>
                <c:pt idx="23">
                  <c:v>57.140940000000001</c:v>
                </c:pt>
                <c:pt idx="24">
                  <c:v>57.140940000000001</c:v>
                </c:pt>
                <c:pt idx="25">
                  <c:v>57.140940000000001</c:v>
                </c:pt>
                <c:pt idx="26">
                  <c:v>57.140940000000001</c:v>
                </c:pt>
                <c:pt idx="27">
                  <c:v>57.140940000000001</c:v>
                </c:pt>
                <c:pt idx="28">
                  <c:v>57.140940000000001</c:v>
                </c:pt>
                <c:pt idx="29">
                  <c:v>57.140940000000001</c:v>
                </c:pt>
                <c:pt idx="30">
                  <c:v>80.10266</c:v>
                </c:pt>
                <c:pt idx="31">
                  <c:v>80.10266</c:v>
                </c:pt>
                <c:pt idx="32">
                  <c:v>80.10266</c:v>
                </c:pt>
                <c:pt idx="33">
                  <c:v>80.10266</c:v>
                </c:pt>
                <c:pt idx="34">
                  <c:v>80.10266</c:v>
                </c:pt>
                <c:pt idx="35">
                  <c:v>80.10266</c:v>
                </c:pt>
                <c:pt idx="36">
                  <c:v>80.10266</c:v>
                </c:pt>
                <c:pt idx="37">
                  <c:v>80.10266</c:v>
                </c:pt>
                <c:pt idx="38">
                  <c:v>80.10266</c:v>
                </c:pt>
                <c:pt idx="39">
                  <c:v>80.10266</c:v>
                </c:pt>
                <c:pt idx="40">
                  <c:v>80.10266</c:v>
                </c:pt>
                <c:pt idx="41">
                  <c:v>80.10266</c:v>
                </c:pt>
                <c:pt idx="42">
                  <c:v>80.10266</c:v>
                </c:pt>
                <c:pt idx="43">
                  <c:v>80.10266</c:v>
                </c:pt>
                <c:pt idx="44">
                  <c:v>80.10266</c:v>
                </c:pt>
              </c:numCache>
            </c:numRef>
          </c:xVal>
          <c:yVal>
            <c:numRef>
              <c:f>Germany!$R$102:$R$146</c:f>
              <c:numCache>
                <c:formatCode>0.0</c:formatCode>
                <c:ptCount val="45"/>
                <c:pt idx="0">
                  <c:v>-1.5106838714850599</c:v>
                </c:pt>
                <c:pt idx="1">
                  <c:v>-0.455143283202255</c:v>
                </c:pt>
                <c:pt idx="2">
                  <c:v>-0.246719984690635</c:v>
                </c:pt>
                <c:pt idx="3">
                  <c:v>-1.3640441304544801E-2</c:v>
                </c:pt>
                <c:pt idx="4">
                  <c:v>1.0445925845137699E-2</c:v>
                </c:pt>
                <c:pt idx="5">
                  <c:v>0.202084781454162</c:v>
                </c:pt>
                <c:pt idx="6">
                  <c:v>0.260481800941672</c:v>
                </c:pt>
                <c:pt idx="7">
                  <c:v>0.26510789335979601</c:v>
                </c:pt>
                <c:pt idx="8">
                  <c:v>0.28929481166423399</c:v>
                </c:pt>
                <c:pt idx="9">
                  <c:v>0.49984137361762099</c:v>
                </c:pt>
                <c:pt idx="10">
                  <c:v>0.80417040193595102</c:v>
                </c:pt>
                <c:pt idx="11">
                  <c:v>1.04968471537718</c:v>
                </c:pt>
                <c:pt idx="12">
                  <c:v>1.0995949340623199</c:v>
                </c:pt>
                <c:pt idx="13">
                  <c:v>1.1790980182683799</c:v>
                </c:pt>
                <c:pt idx="14">
                  <c:v>1.73652848043092</c:v>
                </c:pt>
                <c:pt idx="15">
                  <c:v>1.8577545044649399</c:v>
                </c:pt>
                <c:pt idx="16">
                  <c:v>1.8891503361758299</c:v>
                </c:pt>
                <c:pt idx="17">
                  <c:v>1.99506052950347</c:v>
                </c:pt>
                <c:pt idx="18">
                  <c:v>2.0211709471808299</c:v>
                </c:pt>
                <c:pt idx="19">
                  <c:v>2.1518408571594101</c:v>
                </c:pt>
                <c:pt idx="20">
                  <c:v>2.1768579569381901</c:v>
                </c:pt>
                <c:pt idx="21">
                  <c:v>2.3146878804865798</c:v>
                </c:pt>
                <c:pt idx="22">
                  <c:v>2.3863497983597299</c:v>
                </c:pt>
                <c:pt idx="23">
                  <c:v>2.4266959598767199</c:v>
                </c:pt>
                <c:pt idx="24">
                  <c:v>2.5240532008515602</c:v>
                </c:pt>
                <c:pt idx="25">
                  <c:v>3.0222560821706299</c:v>
                </c:pt>
                <c:pt idx="26">
                  <c:v>3.0306464152364501</c:v>
                </c:pt>
                <c:pt idx="27">
                  <c:v>3.1556433915767901</c:v>
                </c:pt>
                <c:pt idx="28">
                  <c:v>3.1978499613849798</c:v>
                </c:pt>
                <c:pt idx="29">
                  <c:v>3.32705264947543</c:v>
                </c:pt>
                <c:pt idx="30">
                  <c:v>3.37847316841279</c:v>
                </c:pt>
                <c:pt idx="31">
                  <c:v>3.4338627390384602</c:v>
                </c:pt>
                <c:pt idx="32">
                  <c:v>3.5202270985570898</c:v>
                </c:pt>
                <c:pt idx="33">
                  <c:v>3.53066741076778</c:v>
                </c:pt>
                <c:pt idx="34">
                  <c:v>3.6304843016170198</c:v>
                </c:pt>
                <c:pt idx="35">
                  <c:v>3.698883269869</c:v>
                </c:pt>
                <c:pt idx="36">
                  <c:v>4.1156724551293804</c:v>
                </c:pt>
                <c:pt idx="37">
                  <c:v>4.1295371874888902</c:v>
                </c:pt>
                <c:pt idx="38">
                  <c:v>4.34381478533912</c:v>
                </c:pt>
                <c:pt idx="39">
                  <c:v>4.3595165315100903</c:v>
                </c:pt>
                <c:pt idx="40">
                  <c:v>4.9469914497901604</c:v>
                </c:pt>
                <c:pt idx="41">
                  <c:v>6.0880502977902502</c:v>
                </c:pt>
                <c:pt idx="42">
                  <c:v>6.1055126564551099</c:v>
                </c:pt>
                <c:pt idx="43">
                  <c:v>6.1735672964599102</c:v>
                </c:pt>
                <c:pt idx="44">
                  <c:v>6.3787796780897796</c:v>
                </c:pt>
              </c:numCache>
            </c:numRef>
          </c:yVal>
          <c:smooth val="1"/>
          <c:extLst>
            <c:ext xmlns:c16="http://schemas.microsoft.com/office/drawing/2014/chart" uri="{C3380CC4-5D6E-409C-BE32-E72D297353CC}">
              <c16:uniqueId val="{00000000-39E4-4E22-863E-7BDAD76D8C78}"/>
            </c:ext>
          </c:extLst>
        </c:ser>
        <c:ser>
          <c:idx val="0"/>
          <c:order val="1"/>
          <c:tx>
            <c:v>2025</c:v>
          </c:tx>
          <c:spPr>
            <a:ln w="19050" cap="rnd">
              <a:solidFill>
                <a:schemeClr val="accent1"/>
              </a:solidFill>
              <a:round/>
            </a:ln>
            <a:effectLst/>
          </c:spPr>
          <c:marker>
            <c:symbol val="none"/>
          </c:marker>
          <c:xVal>
            <c:numRef>
              <c:f>Germany!$U$53:$U$99</c:f>
              <c:numCache>
                <c:formatCode>0.0</c:formatCode>
                <c:ptCount val="47"/>
                <c:pt idx="0">
                  <c:v>0</c:v>
                </c:pt>
                <c:pt idx="1">
                  <c:v>0</c:v>
                </c:pt>
                <c:pt idx="2">
                  <c:v>5.7633599999999996</c:v>
                </c:pt>
                <c:pt idx="3">
                  <c:v>5.7633599999999996</c:v>
                </c:pt>
                <c:pt idx="4">
                  <c:v>6.7203399999999993</c:v>
                </c:pt>
                <c:pt idx="5">
                  <c:v>6.7203399999999993</c:v>
                </c:pt>
                <c:pt idx="6">
                  <c:v>6.7203399999999993</c:v>
                </c:pt>
                <c:pt idx="7">
                  <c:v>6.7203399999999993</c:v>
                </c:pt>
                <c:pt idx="8">
                  <c:v>6.7203399999999993</c:v>
                </c:pt>
                <c:pt idx="9">
                  <c:v>6.7203399999999993</c:v>
                </c:pt>
                <c:pt idx="10">
                  <c:v>33.662669999999999</c:v>
                </c:pt>
                <c:pt idx="11">
                  <c:v>43.330069999999999</c:v>
                </c:pt>
                <c:pt idx="12">
                  <c:v>43.330069999999999</c:v>
                </c:pt>
                <c:pt idx="13">
                  <c:v>43.330069999999999</c:v>
                </c:pt>
                <c:pt idx="14">
                  <c:v>43.330069999999999</c:v>
                </c:pt>
                <c:pt idx="15">
                  <c:v>43.330069999999999</c:v>
                </c:pt>
                <c:pt idx="16">
                  <c:v>43.330069999999999</c:v>
                </c:pt>
                <c:pt idx="17">
                  <c:v>43.330069999999999</c:v>
                </c:pt>
                <c:pt idx="18">
                  <c:v>43.330069999999999</c:v>
                </c:pt>
                <c:pt idx="19">
                  <c:v>43.330069999999999</c:v>
                </c:pt>
                <c:pt idx="20">
                  <c:v>43.330069999999999</c:v>
                </c:pt>
                <c:pt idx="21">
                  <c:v>43.330069999999999</c:v>
                </c:pt>
                <c:pt idx="22">
                  <c:v>43.330069999999999</c:v>
                </c:pt>
                <c:pt idx="23">
                  <c:v>43.330069999999999</c:v>
                </c:pt>
                <c:pt idx="24">
                  <c:v>43.330069999999999</c:v>
                </c:pt>
                <c:pt idx="25">
                  <c:v>43.330069999999999</c:v>
                </c:pt>
                <c:pt idx="26">
                  <c:v>43.330069999999999</c:v>
                </c:pt>
                <c:pt idx="27">
                  <c:v>43.330069999999999</c:v>
                </c:pt>
                <c:pt idx="28">
                  <c:v>74.210210000000004</c:v>
                </c:pt>
                <c:pt idx="29">
                  <c:v>74.210210000000004</c:v>
                </c:pt>
                <c:pt idx="30">
                  <c:v>74.210210000000004</c:v>
                </c:pt>
                <c:pt idx="31">
                  <c:v>74.210210000000004</c:v>
                </c:pt>
                <c:pt idx="32">
                  <c:v>74.210210000000004</c:v>
                </c:pt>
                <c:pt idx="33">
                  <c:v>74.210210000000004</c:v>
                </c:pt>
                <c:pt idx="34">
                  <c:v>74.210210000000004</c:v>
                </c:pt>
                <c:pt idx="35">
                  <c:v>74.210210000000004</c:v>
                </c:pt>
                <c:pt idx="36">
                  <c:v>74.210210000000004</c:v>
                </c:pt>
                <c:pt idx="37">
                  <c:v>74.210210000000004</c:v>
                </c:pt>
                <c:pt idx="38">
                  <c:v>74.210210000000004</c:v>
                </c:pt>
                <c:pt idx="39">
                  <c:v>74.210210000000004</c:v>
                </c:pt>
                <c:pt idx="40">
                  <c:v>74.210210000000004</c:v>
                </c:pt>
                <c:pt idx="41">
                  <c:v>74.210210000000004</c:v>
                </c:pt>
                <c:pt idx="42">
                  <c:v>74.210210000000004</c:v>
                </c:pt>
                <c:pt idx="43">
                  <c:v>74.210210000000004</c:v>
                </c:pt>
                <c:pt idx="44">
                  <c:v>74.210210000000004</c:v>
                </c:pt>
                <c:pt idx="45">
                  <c:v>74.210210000000004</c:v>
                </c:pt>
                <c:pt idx="46">
                  <c:v>74.210210000000004</c:v>
                </c:pt>
              </c:numCache>
            </c:numRef>
          </c:xVal>
          <c:yVal>
            <c:numRef>
              <c:f>Germany!$R$53:$R$99</c:f>
              <c:numCache>
                <c:formatCode>0.0</c:formatCode>
                <c:ptCount val="47"/>
                <c:pt idx="0">
                  <c:v>-5.7455584943397796E-3</c:v>
                </c:pt>
                <c:pt idx="1">
                  <c:v>4.5034834436384202E-2</c:v>
                </c:pt>
                <c:pt idx="2">
                  <c:v>0.72146310043550799</c:v>
                </c:pt>
                <c:pt idx="3">
                  <c:v>0.81412652047561496</c:v>
                </c:pt>
                <c:pt idx="4">
                  <c:v>0.92785869957281397</c:v>
                </c:pt>
                <c:pt idx="5">
                  <c:v>1.0055300578836399</c:v>
                </c:pt>
                <c:pt idx="6">
                  <c:v>1.05665243764741</c:v>
                </c:pt>
                <c:pt idx="7">
                  <c:v>1.1968253032948999</c:v>
                </c:pt>
                <c:pt idx="8">
                  <c:v>1.4078111798213899</c:v>
                </c:pt>
                <c:pt idx="9">
                  <c:v>1.63596489741345</c:v>
                </c:pt>
                <c:pt idx="10">
                  <c:v>1.6430136559007</c:v>
                </c:pt>
                <c:pt idx="11">
                  <c:v>1.67496047535642</c:v>
                </c:pt>
                <c:pt idx="12">
                  <c:v>1.92423681976489</c:v>
                </c:pt>
                <c:pt idx="13">
                  <c:v>2.09214450848178</c:v>
                </c:pt>
                <c:pt idx="14">
                  <c:v>2.3517377365510299</c:v>
                </c:pt>
                <c:pt idx="15">
                  <c:v>2.3856613691567001</c:v>
                </c:pt>
                <c:pt idx="16">
                  <c:v>2.3981327932354599</c:v>
                </c:pt>
                <c:pt idx="17">
                  <c:v>2.4222509679143198</c:v>
                </c:pt>
                <c:pt idx="18">
                  <c:v>2.4979206709645498</c:v>
                </c:pt>
                <c:pt idx="19">
                  <c:v>2.6279051633310799</c:v>
                </c:pt>
                <c:pt idx="20">
                  <c:v>2.6706260999464799</c:v>
                </c:pt>
                <c:pt idx="21">
                  <c:v>2.7757840687491302</c:v>
                </c:pt>
                <c:pt idx="22">
                  <c:v>2.8232104764355199</c:v>
                </c:pt>
                <c:pt idx="23">
                  <c:v>2.9122784700114299</c:v>
                </c:pt>
                <c:pt idx="24">
                  <c:v>3.1956473810199899</c:v>
                </c:pt>
                <c:pt idx="25">
                  <c:v>3.2179684491716198</c:v>
                </c:pt>
                <c:pt idx="26">
                  <c:v>3.2683545599652502</c:v>
                </c:pt>
                <c:pt idx="27">
                  <c:v>3.3553066749535199</c:v>
                </c:pt>
                <c:pt idx="28">
                  <c:v>3.3756920173434701</c:v>
                </c:pt>
                <c:pt idx="29">
                  <c:v>3.4173443346938299</c:v>
                </c:pt>
                <c:pt idx="30">
                  <c:v>3.5398378799650398</c:v>
                </c:pt>
                <c:pt idx="31">
                  <c:v>3.57344106563191</c:v>
                </c:pt>
                <c:pt idx="32">
                  <c:v>3.6153616006785101</c:v>
                </c:pt>
                <c:pt idx="33">
                  <c:v>3.7833566852384601</c:v>
                </c:pt>
                <c:pt idx="34">
                  <c:v>3.9847585545383701</c:v>
                </c:pt>
                <c:pt idx="35">
                  <c:v>4.0016120182325299</c:v>
                </c:pt>
                <c:pt idx="36">
                  <c:v>4.2403682021866604</c:v>
                </c:pt>
                <c:pt idx="37">
                  <c:v>4.2421772964599098</c:v>
                </c:pt>
                <c:pt idx="38">
                  <c:v>4.2565039832321503</c:v>
                </c:pt>
                <c:pt idx="39">
                  <c:v>4.3472179583008597</c:v>
                </c:pt>
                <c:pt idx="40">
                  <c:v>4.5619237364764498</c:v>
                </c:pt>
                <c:pt idx="41">
                  <c:v>4.9679830400170397</c:v>
                </c:pt>
                <c:pt idx="42">
                  <c:v>5.9755602637143204</c:v>
                </c:pt>
                <c:pt idx="43">
                  <c:v>6.03699981399172</c:v>
                </c:pt>
                <c:pt idx="44">
                  <c:v>6.3534612671647199</c:v>
                </c:pt>
                <c:pt idx="45">
                  <c:v>7.7008622403904097</c:v>
                </c:pt>
                <c:pt idx="46">
                  <c:v>9.0081492553901494</c:v>
                </c:pt>
              </c:numCache>
            </c:numRef>
          </c:yVal>
          <c:smooth val="1"/>
          <c:extLst>
            <c:ext xmlns:c16="http://schemas.microsoft.com/office/drawing/2014/chart" uri="{C3380CC4-5D6E-409C-BE32-E72D297353CC}">
              <c16:uniqueId val="{00000001-39E4-4E22-863E-7BDAD76D8C78}"/>
            </c:ext>
          </c:extLst>
        </c:ser>
        <c:ser>
          <c:idx val="2"/>
          <c:order val="2"/>
          <c:tx>
            <c:v>2040</c:v>
          </c:tx>
          <c:spPr>
            <a:ln w="19050" cap="rnd">
              <a:solidFill>
                <a:schemeClr val="accent3"/>
              </a:solidFill>
              <a:round/>
            </a:ln>
            <a:effectLst/>
          </c:spPr>
          <c:marker>
            <c:symbol val="none"/>
          </c:marker>
          <c:xVal>
            <c:numRef>
              <c:f>Germany!$U$2:$U$50</c:f>
              <c:numCache>
                <c:formatCode>0.0</c:formatCode>
                <c:ptCount val="49"/>
                <c:pt idx="0">
                  <c:v>0</c:v>
                </c:pt>
                <c:pt idx="1">
                  <c:v>0</c:v>
                </c:pt>
                <c:pt idx="2">
                  <c:v>1.9932000000000001</c:v>
                </c:pt>
                <c:pt idx="3">
                  <c:v>1.9932000000000001</c:v>
                </c:pt>
                <c:pt idx="4">
                  <c:v>1.9932000000000001</c:v>
                </c:pt>
                <c:pt idx="5">
                  <c:v>1.9932000000000001</c:v>
                </c:pt>
                <c:pt idx="6">
                  <c:v>1.9932000000000001</c:v>
                </c:pt>
                <c:pt idx="7">
                  <c:v>1.9932000000000001</c:v>
                </c:pt>
                <c:pt idx="8">
                  <c:v>1.9932000000000001</c:v>
                </c:pt>
                <c:pt idx="9">
                  <c:v>1.9932000000000001</c:v>
                </c:pt>
                <c:pt idx="10">
                  <c:v>1.9932000000000001</c:v>
                </c:pt>
                <c:pt idx="11">
                  <c:v>1.9932000000000001</c:v>
                </c:pt>
                <c:pt idx="12">
                  <c:v>1.9932000000000001</c:v>
                </c:pt>
                <c:pt idx="13">
                  <c:v>1.9932000000000001</c:v>
                </c:pt>
                <c:pt idx="14">
                  <c:v>1.9932000000000001</c:v>
                </c:pt>
                <c:pt idx="15">
                  <c:v>1.9932000000000001</c:v>
                </c:pt>
                <c:pt idx="16">
                  <c:v>1.9932000000000001</c:v>
                </c:pt>
                <c:pt idx="17">
                  <c:v>1.9932000000000001</c:v>
                </c:pt>
                <c:pt idx="18">
                  <c:v>1.9932000000000001</c:v>
                </c:pt>
                <c:pt idx="19">
                  <c:v>1.9932000000000001</c:v>
                </c:pt>
                <c:pt idx="20">
                  <c:v>1.9932000000000001</c:v>
                </c:pt>
                <c:pt idx="21">
                  <c:v>3.0060700000000002</c:v>
                </c:pt>
                <c:pt idx="22">
                  <c:v>3.0060700000000002</c:v>
                </c:pt>
                <c:pt idx="23">
                  <c:v>3.0060700000000002</c:v>
                </c:pt>
                <c:pt idx="24">
                  <c:v>3.0060700000000002</c:v>
                </c:pt>
                <c:pt idx="25">
                  <c:v>3.0060700000000002</c:v>
                </c:pt>
                <c:pt idx="26">
                  <c:v>3.0060700000000002</c:v>
                </c:pt>
                <c:pt idx="27">
                  <c:v>3.0060700000000002</c:v>
                </c:pt>
                <c:pt idx="28">
                  <c:v>3.0060700000000002</c:v>
                </c:pt>
                <c:pt idx="29">
                  <c:v>66.9739</c:v>
                </c:pt>
                <c:pt idx="30">
                  <c:v>66.9739</c:v>
                </c:pt>
                <c:pt idx="31">
                  <c:v>66.9739</c:v>
                </c:pt>
                <c:pt idx="32">
                  <c:v>66.9739</c:v>
                </c:pt>
                <c:pt idx="33">
                  <c:v>66.9739</c:v>
                </c:pt>
                <c:pt idx="34">
                  <c:v>66.9739</c:v>
                </c:pt>
                <c:pt idx="35">
                  <c:v>66.9739</c:v>
                </c:pt>
                <c:pt idx="36">
                  <c:v>66.9739</c:v>
                </c:pt>
                <c:pt idx="37">
                  <c:v>66.9739</c:v>
                </c:pt>
                <c:pt idx="38">
                  <c:v>66.9739</c:v>
                </c:pt>
                <c:pt idx="39">
                  <c:v>66.9739</c:v>
                </c:pt>
                <c:pt idx="40">
                  <c:v>66.9739</c:v>
                </c:pt>
                <c:pt idx="41">
                  <c:v>66.9739</c:v>
                </c:pt>
                <c:pt idx="42">
                  <c:v>66.9739</c:v>
                </c:pt>
                <c:pt idx="43">
                  <c:v>66.9739</c:v>
                </c:pt>
                <c:pt idx="44">
                  <c:v>66.9739</c:v>
                </c:pt>
                <c:pt idx="45">
                  <c:v>66.9739</c:v>
                </c:pt>
                <c:pt idx="46">
                  <c:v>66.9739</c:v>
                </c:pt>
                <c:pt idx="47">
                  <c:v>66.9739</c:v>
                </c:pt>
                <c:pt idx="48">
                  <c:v>66.9739</c:v>
                </c:pt>
              </c:numCache>
            </c:numRef>
          </c:xVal>
          <c:yVal>
            <c:numRef>
              <c:f>Germany!$R$2:$R$50</c:f>
              <c:numCache>
                <c:formatCode>0.0</c:formatCode>
                <c:ptCount val="49"/>
                <c:pt idx="0">
                  <c:v>0.428302886834171</c:v>
                </c:pt>
                <c:pt idx="1">
                  <c:v>1.4058421860586101</c:v>
                </c:pt>
                <c:pt idx="2">
                  <c:v>1.4188191645413599</c:v>
                </c:pt>
                <c:pt idx="3">
                  <c:v>1.7426416645349101</c:v>
                </c:pt>
                <c:pt idx="4">
                  <c:v>1.91675647830552</c:v>
                </c:pt>
                <c:pt idx="5">
                  <c:v>1.9723353046730701</c:v>
                </c:pt>
                <c:pt idx="6">
                  <c:v>2.66435005140971</c:v>
                </c:pt>
                <c:pt idx="7">
                  <c:v>2.6774780312395898</c:v>
                </c:pt>
                <c:pt idx="8">
                  <c:v>2.6861031545523999</c:v>
                </c:pt>
                <c:pt idx="9">
                  <c:v>2.69513380945798</c:v>
                </c:pt>
                <c:pt idx="10">
                  <c:v>3.21453432723083</c:v>
                </c:pt>
                <c:pt idx="11">
                  <c:v>3.2761236850116302</c:v>
                </c:pt>
                <c:pt idx="12">
                  <c:v>3.5518826494754299</c:v>
                </c:pt>
                <c:pt idx="13">
                  <c:v>3.6915718859366802</c:v>
                </c:pt>
                <c:pt idx="14">
                  <c:v>3.90757125857633</c:v>
                </c:pt>
                <c:pt idx="15">
                  <c:v>3.9714784768078899</c:v>
                </c:pt>
                <c:pt idx="16">
                  <c:v>3.98138159149608</c:v>
                </c:pt>
                <c:pt idx="17">
                  <c:v>4.0306384824695201</c:v>
                </c:pt>
                <c:pt idx="18">
                  <c:v>4.1612871033581298</c:v>
                </c:pt>
                <c:pt idx="19">
                  <c:v>4.3104880312744704</c:v>
                </c:pt>
                <c:pt idx="20">
                  <c:v>4.3494917152081403</c:v>
                </c:pt>
                <c:pt idx="21">
                  <c:v>4.6021261959183999</c:v>
                </c:pt>
                <c:pt idx="22">
                  <c:v>4.6033119797111803</c:v>
                </c:pt>
                <c:pt idx="23">
                  <c:v>4.6713211026483901</c:v>
                </c:pt>
                <c:pt idx="24">
                  <c:v>4.6951376797710704</c:v>
                </c:pt>
                <c:pt idx="25">
                  <c:v>4.75269180341874</c:v>
                </c:pt>
                <c:pt idx="26">
                  <c:v>4.8822892307136803</c:v>
                </c:pt>
                <c:pt idx="27">
                  <c:v>5.1033186790857696</c:v>
                </c:pt>
                <c:pt idx="28">
                  <c:v>5.2400007249852498</c:v>
                </c:pt>
                <c:pt idx="29">
                  <c:v>5.2654127722319597</c:v>
                </c:pt>
                <c:pt idx="30">
                  <c:v>5.4557158473621401</c:v>
                </c:pt>
                <c:pt idx="31">
                  <c:v>5.4894616439323798</c:v>
                </c:pt>
                <c:pt idx="32">
                  <c:v>5.5218775143023402</c:v>
                </c:pt>
                <c:pt idx="33">
                  <c:v>5.9727995467204797</c:v>
                </c:pt>
                <c:pt idx="34">
                  <c:v>6.0326663125605497</c:v>
                </c:pt>
                <c:pt idx="35">
                  <c:v>6.0639201991388303</c:v>
                </c:pt>
                <c:pt idx="36">
                  <c:v>6.0690304969098197</c:v>
                </c:pt>
                <c:pt idx="37">
                  <c:v>6.2766244884956199</c:v>
                </c:pt>
                <c:pt idx="38">
                  <c:v>6.3119490336523096</c:v>
                </c:pt>
                <c:pt idx="39">
                  <c:v>6.5454186423052798</c:v>
                </c:pt>
                <c:pt idx="40">
                  <c:v>6.5469178516934097</c:v>
                </c:pt>
                <c:pt idx="41">
                  <c:v>6.67359998996558</c:v>
                </c:pt>
                <c:pt idx="42">
                  <c:v>6.9602425416846998</c:v>
                </c:pt>
                <c:pt idx="43">
                  <c:v>6.99190786675645</c:v>
                </c:pt>
                <c:pt idx="44">
                  <c:v>7.4501837800713</c:v>
                </c:pt>
                <c:pt idx="45">
                  <c:v>7.8480500161078801</c:v>
                </c:pt>
                <c:pt idx="46">
                  <c:v>8.5512703952655098</c:v>
                </c:pt>
                <c:pt idx="47">
                  <c:v>8.9138705856868601</c:v>
                </c:pt>
                <c:pt idx="48">
                  <c:v>14.2007050562086</c:v>
                </c:pt>
              </c:numCache>
            </c:numRef>
          </c:yVal>
          <c:smooth val="1"/>
          <c:extLst>
            <c:ext xmlns:c16="http://schemas.microsoft.com/office/drawing/2014/chart" uri="{C3380CC4-5D6E-409C-BE32-E72D297353CC}">
              <c16:uniqueId val="{00000002-39E4-4E22-863E-7BDAD76D8C78}"/>
            </c:ext>
          </c:extLst>
        </c:ser>
        <c:dLbls>
          <c:showLegendKey val="0"/>
          <c:showVal val="0"/>
          <c:showCatName val="0"/>
          <c:showSerName val="0"/>
          <c:showPercent val="0"/>
          <c:showBubbleSize val="0"/>
        </c:dLbls>
        <c:axId val="1991741567"/>
        <c:axId val="1991741983"/>
      </c:scatterChart>
      <c:valAx>
        <c:axId val="1991741567"/>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1741983"/>
        <c:crosses val="autoZero"/>
        <c:crossBetween val="midCat"/>
      </c:valAx>
      <c:valAx>
        <c:axId val="1991741983"/>
        <c:scaling>
          <c:orientation val="minMax"/>
          <c:max val="12"/>
          <c:min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1741567"/>
        <c:crosses val="autoZero"/>
        <c:crossBetween val="midCat"/>
        <c:majorUnit val="1"/>
      </c:valAx>
      <c:spPr>
        <a:noFill/>
        <a:ln>
          <a:noFill/>
        </a:ln>
        <a:effectLst/>
      </c:spPr>
    </c:plotArea>
    <c:legend>
      <c:legendPos val="b"/>
      <c:layout>
        <c:manualLayout>
          <c:xMode val="edge"/>
          <c:yMode val="edge"/>
          <c:x val="0.17942040100224296"/>
          <c:y val="0.91770723122810205"/>
          <c:w val="0.7446262512716264"/>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524105539439148"/>
          <c:y val="5.0925925925925923E-2"/>
          <c:w val="0.74346525763226945"/>
          <c:h val="0.73305744724696997"/>
        </c:manualLayout>
      </c:layout>
      <c:scatterChart>
        <c:scatterStyle val="smoothMarker"/>
        <c:varyColors val="0"/>
        <c:ser>
          <c:idx val="1"/>
          <c:order val="0"/>
          <c:tx>
            <c:v>2018</c:v>
          </c:tx>
          <c:spPr>
            <a:ln w="19050" cap="rnd">
              <a:solidFill>
                <a:schemeClr val="accent2"/>
              </a:solidFill>
              <a:round/>
            </a:ln>
            <a:effectLst/>
          </c:spPr>
          <c:marker>
            <c:symbol val="none"/>
          </c:marker>
          <c:xVal>
            <c:numRef>
              <c:f>Brazil!$U$2:$U$38</c:f>
              <c:numCache>
                <c:formatCode>0.0</c:formatCode>
                <c:ptCount val="37"/>
                <c:pt idx="0">
                  <c:v>23.574120000000001</c:v>
                </c:pt>
                <c:pt idx="1">
                  <c:v>23.574120000000001</c:v>
                </c:pt>
                <c:pt idx="2">
                  <c:v>25.253959999999999</c:v>
                </c:pt>
                <c:pt idx="3">
                  <c:v>34.488109999999999</c:v>
                </c:pt>
                <c:pt idx="4">
                  <c:v>35.083419999999997</c:v>
                </c:pt>
                <c:pt idx="5">
                  <c:v>35.083419999999997</c:v>
                </c:pt>
                <c:pt idx="6">
                  <c:v>35.293129999999998</c:v>
                </c:pt>
                <c:pt idx="7">
                  <c:v>35.390189999999997</c:v>
                </c:pt>
                <c:pt idx="8">
                  <c:v>35.390189999999997</c:v>
                </c:pt>
                <c:pt idx="9">
                  <c:v>35.390189999999997</c:v>
                </c:pt>
                <c:pt idx="10">
                  <c:v>36.195569999999996</c:v>
                </c:pt>
                <c:pt idx="11">
                  <c:v>36.195569999999996</c:v>
                </c:pt>
                <c:pt idx="12">
                  <c:v>38.336859999999994</c:v>
                </c:pt>
                <c:pt idx="13">
                  <c:v>38.336859999999994</c:v>
                </c:pt>
                <c:pt idx="14">
                  <c:v>38.336859999999994</c:v>
                </c:pt>
                <c:pt idx="15">
                  <c:v>38.336859999999994</c:v>
                </c:pt>
                <c:pt idx="16">
                  <c:v>38.336859999999994</c:v>
                </c:pt>
                <c:pt idx="17">
                  <c:v>38.336859999999994</c:v>
                </c:pt>
                <c:pt idx="18">
                  <c:v>38.336859999999994</c:v>
                </c:pt>
                <c:pt idx="19">
                  <c:v>40.058169999999997</c:v>
                </c:pt>
                <c:pt idx="20">
                  <c:v>40.058169999999997</c:v>
                </c:pt>
                <c:pt idx="21">
                  <c:v>40.058169999999997</c:v>
                </c:pt>
                <c:pt idx="22">
                  <c:v>40.058169999999997</c:v>
                </c:pt>
                <c:pt idx="23">
                  <c:v>40.058169999999997</c:v>
                </c:pt>
                <c:pt idx="24">
                  <c:v>40.058169999999997</c:v>
                </c:pt>
                <c:pt idx="25">
                  <c:v>40.058169999999997</c:v>
                </c:pt>
                <c:pt idx="26">
                  <c:v>40.058169999999997</c:v>
                </c:pt>
                <c:pt idx="27">
                  <c:v>40.058169999999997</c:v>
                </c:pt>
                <c:pt idx="28">
                  <c:v>40.058169999999997</c:v>
                </c:pt>
                <c:pt idx="29">
                  <c:v>40.058169999999997</c:v>
                </c:pt>
                <c:pt idx="30">
                  <c:v>40.058169999999997</c:v>
                </c:pt>
                <c:pt idx="31">
                  <c:v>40.058169999999997</c:v>
                </c:pt>
                <c:pt idx="32">
                  <c:v>40.058169999999997</c:v>
                </c:pt>
                <c:pt idx="33">
                  <c:v>40.058169999999997</c:v>
                </c:pt>
                <c:pt idx="34">
                  <c:v>40.058169999999997</c:v>
                </c:pt>
                <c:pt idx="35">
                  <c:v>41.084239999999994</c:v>
                </c:pt>
                <c:pt idx="36">
                  <c:v>41.084239999999994</c:v>
                </c:pt>
              </c:numCache>
            </c:numRef>
          </c:xVal>
          <c:yVal>
            <c:numRef>
              <c:f>Brazil!$R$2:$R$38</c:f>
              <c:numCache>
                <c:formatCode>0.0</c:formatCode>
                <c:ptCount val="37"/>
                <c:pt idx="0">
                  <c:v>-0.34635929191966403</c:v>
                </c:pt>
                <c:pt idx="1">
                  <c:v>6.3325350287401605E-2</c:v>
                </c:pt>
                <c:pt idx="2">
                  <c:v>0.31869122653106502</c:v>
                </c:pt>
                <c:pt idx="3">
                  <c:v>0.499517591488706</c:v>
                </c:pt>
                <c:pt idx="4">
                  <c:v>0.83213656861781404</c:v>
                </c:pt>
                <c:pt idx="5">
                  <c:v>1.4049890509664</c:v>
                </c:pt>
                <c:pt idx="6">
                  <c:v>1.5890255493035099</c:v>
                </c:pt>
                <c:pt idx="7">
                  <c:v>2.1901676940750501</c:v>
                </c:pt>
                <c:pt idx="8">
                  <c:v>2.3961793470170099</c:v>
                </c:pt>
                <c:pt idx="9">
                  <c:v>2.46205924178191</c:v>
                </c:pt>
                <c:pt idx="10">
                  <c:v>2.4873126122826501</c:v>
                </c:pt>
                <c:pt idx="11">
                  <c:v>2.5184691850104901</c:v>
                </c:pt>
                <c:pt idx="12">
                  <c:v>2.71944952378028</c:v>
                </c:pt>
                <c:pt idx="13">
                  <c:v>2.9991239460386101</c:v>
                </c:pt>
                <c:pt idx="14">
                  <c:v>3.13106071476806</c:v>
                </c:pt>
                <c:pt idx="15">
                  <c:v>3.2525304983606702</c:v>
                </c:pt>
                <c:pt idx="16">
                  <c:v>3.3695806515547999</c:v>
                </c:pt>
                <c:pt idx="17">
                  <c:v>3.5300285690533602</c:v>
                </c:pt>
                <c:pt idx="18">
                  <c:v>3.69158720618741</c:v>
                </c:pt>
                <c:pt idx="19">
                  <c:v>3.7226829576189302</c:v>
                </c:pt>
                <c:pt idx="20">
                  <c:v>3.9185963259728198</c:v>
                </c:pt>
                <c:pt idx="21">
                  <c:v>4.3274934152204301</c:v>
                </c:pt>
                <c:pt idx="22">
                  <c:v>4.6013440940153396</c:v>
                </c:pt>
                <c:pt idx="23">
                  <c:v>4.6322899825252302</c:v>
                </c:pt>
                <c:pt idx="24">
                  <c:v>4.7839816988666302</c:v>
                </c:pt>
                <c:pt idx="25">
                  <c:v>4.82546443160689</c:v>
                </c:pt>
                <c:pt idx="26">
                  <c:v>4.8790876456436303</c:v>
                </c:pt>
                <c:pt idx="27">
                  <c:v>4.9788940059909796</c:v>
                </c:pt>
                <c:pt idx="28">
                  <c:v>5.0041104095746398</c:v>
                </c:pt>
                <c:pt idx="29">
                  <c:v>5.4640821595033398</c:v>
                </c:pt>
                <c:pt idx="30">
                  <c:v>5.5240803126101499</c:v>
                </c:pt>
                <c:pt idx="31">
                  <c:v>5.6939802799404999</c:v>
                </c:pt>
                <c:pt idx="32">
                  <c:v>6.4073098687583299</c:v>
                </c:pt>
                <c:pt idx="33">
                  <c:v>7.4539223608290701</c:v>
                </c:pt>
                <c:pt idx="34">
                  <c:v>7.5695681463966604</c:v>
                </c:pt>
                <c:pt idx="35">
                  <c:v>7.7220776388878098</c:v>
                </c:pt>
                <c:pt idx="36">
                  <c:v>7.7271893824637496</c:v>
                </c:pt>
              </c:numCache>
            </c:numRef>
          </c:yVal>
          <c:smooth val="1"/>
          <c:extLst>
            <c:ext xmlns:c16="http://schemas.microsoft.com/office/drawing/2014/chart" uri="{C3380CC4-5D6E-409C-BE32-E72D297353CC}">
              <c16:uniqueId val="{00000000-B5C1-4847-BAD4-441810730DCA}"/>
            </c:ext>
          </c:extLst>
        </c:ser>
        <c:ser>
          <c:idx val="0"/>
          <c:order val="1"/>
          <c:tx>
            <c:v>2025</c:v>
          </c:tx>
          <c:spPr>
            <a:ln w="19050" cap="rnd">
              <a:solidFill>
                <a:schemeClr val="accent1"/>
              </a:solidFill>
              <a:round/>
            </a:ln>
            <a:effectLst/>
          </c:spPr>
          <c:marker>
            <c:symbol val="none"/>
          </c:marker>
          <c:xVal>
            <c:numRef>
              <c:f>Brazil!$U$41:$U$79</c:f>
              <c:numCache>
                <c:formatCode>0.0</c:formatCode>
                <c:ptCount val="39"/>
                <c:pt idx="0">
                  <c:v>35.871420000000001</c:v>
                </c:pt>
                <c:pt idx="1">
                  <c:v>35.871420000000001</c:v>
                </c:pt>
                <c:pt idx="2">
                  <c:v>35.871420000000001</c:v>
                </c:pt>
                <c:pt idx="3">
                  <c:v>45.118459999999999</c:v>
                </c:pt>
                <c:pt idx="4">
                  <c:v>45.118459999999999</c:v>
                </c:pt>
                <c:pt idx="5">
                  <c:v>45.118459999999999</c:v>
                </c:pt>
                <c:pt idx="6">
                  <c:v>45.118459999999999</c:v>
                </c:pt>
                <c:pt idx="7">
                  <c:v>45.118459999999999</c:v>
                </c:pt>
                <c:pt idx="8">
                  <c:v>60.609830000000002</c:v>
                </c:pt>
                <c:pt idx="9">
                  <c:v>60.609830000000002</c:v>
                </c:pt>
                <c:pt idx="10">
                  <c:v>60.609830000000002</c:v>
                </c:pt>
                <c:pt idx="11">
                  <c:v>60.609830000000002</c:v>
                </c:pt>
                <c:pt idx="12">
                  <c:v>60.609830000000002</c:v>
                </c:pt>
                <c:pt idx="13">
                  <c:v>60.609830000000002</c:v>
                </c:pt>
                <c:pt idx="14">
                  <c:v>60.609830000000002</c:v>
                </c:pt>
                <c:pt idx="15">
                  <c:v>60.609830000000002</c:v>
                </c:pt>
                <c:pt idx="16">
                  <c:v>60.609830000000002</c:v>
                </c:pt>
                <c:pt idx="17">
                  <c:v>60.609830000000002</c:v>
                </c:pt>
                <c:pt idx="18">
                  <c:v>60.609830000000002</c:v>
                </c:pt>
                <c:pt idx="19">
                  <c:v>60.609830000000002</c:v>
                </c:pt>
                <c:pt idx="20">
                  <c:v>60.609830000000002</c:v>
                </c:pt>
                <c:pt idx="21">
                  <c:v>60.609830000000002</c:v>
                </c:pt>
                <c:pt idx="22">
                  <c:v>60.609830000000002</c:v>
                </c:pt>
                <c:pt idx="23">
                  <c:v>60.609830000000002</c:v>
                </c:pt>
                <c:pt idx="24">
                  <c:v>60.609830000000002</c:v>
                </c:pt>
                <c:pt idx="25">
                  <c:v>60.609830000000002</c:v>
                </c:pt>
                <c:pt idx="26">
                  <c:v>60.609830000000002</c:v>
                </c:pt>
                <c:pt idx="27">
                  <c:v>60.609830000000002</c:v>
                </c:pt>
                <c:pt idx="28">
                  <c:v>60.609830000000002</c:v>
                </c:pt>
                <c:pt idx="29">
                  <c:v>60.609830000000002</c:v>
                </c:pt>
                <c:pt idx="30">
                  <c:v>60.609830000000002</c:v>
                </c:pt>
                <c:pt idx="31">
                  <c:v>60.609830000000002</c:v>
                </c:pt>
                <c:pt idx="32">
                  <c:v>60.609830000000002</c:v>
                </c:pt>
                <c:pt idx="33">
                  <c:v>60.609830000000002</c:v>
                </c:pt>
                <c:pt idx="34">
                  <c:v>60.609830000000002</c:v>
                </c:pt>
                <c:pt idx="35">
                  <c:v>60.609830000000002</c:v>
                </c:pt>
                <c:pt idx="36">
                  <c:v>60.609830000000002</c:v>
                </c:pt>
                <c:pt idx="37">
                  <c:v>60.609830000000002</c:v>
                </c:pt>
                <c:pt idx="38">
                  <c:v>60.609830000000002</c:v>
                </c:pt>
              </c:numCache>
            </c:numRef>
          </c:xVal>
          <c:yVal>
            <c:numRef>
              <c:f>Brazil!$R$41:$R$79</c:f>
              <c:numCache>
                <c:formatCode>0.0</c:formatCode>
                <c:ptCount val="39"/>
                <c:pt idx="0">
                  <c:v>0.11690220467970899</c:v>
                </c:pt>
                <c:pt idx="1">
                  <c:v>0.512723074995316</c:v>
                </c:pt>
                <c:pt idx="2">
                  <c:v>1.4038204448084699</c:v>
                </c:pt>
                <c:pt idx="3">
                  <c:v>1.7768049225292499</c:v>
                </c:pt>
                <c:pt idx="4">
                  <c:v>2.1534976872177198</c:v>
                </c:pt>
                <c:pt idx="5">
                  <c:v>2.2034347274714601</c:v>
                </c:pt>
                <c:pt idx="6">
                  <c:v>2.2875382723400501</c:v>
                </c:pt>
                <c:pt idx="7">
                  <c:v>2.45189462464498</c:v>
                </c:pt>
                <c:pt idx="8">
                  <c:v>2.4902549396400402</c:v>
                </c:pt>
                <c:pt idx="9">
                  <c:v>3.09608294707138</c:v>
                </c:pt>
                <c:pt idx="10">
                  <c:v>3.1527055829625201</c:v>
                </c:pt>
                <c:pt idx="11">
                  <c:v>3.4405542128557398</c:v>
                </c:pt>
                <c:pt idx="12">
                  <c:v>3.4556045170696401</c:v>
                </c:pt>
                <c:pt idx="13">
                  <c:v>3.7142020442706198</c:v>
                </c:pt>
                <c:pt idx="14">
                  <c:v>3.76268694706213</c:v>
                </c:pt>
                <c:pt idx="15">
                  <c:v>3.7849971244296401</c:v>
                </c:pt>
                <c:pt idx="16">
                  <c:v>3.7929630797160998</c:v>
                </c:pt>
                <c:pt idx="17">
                  <c:v>3.8167832022514601</c:v>
                </c:pt>
                <c:pt idx="18">
                  <c:v>3.97586350777416</c:v>
                </c:pt>
                <c:pt idx="19">
                  <c:v>3.98523577679024</c:v>
                </c:pt>
                <c:pt idx="20">
                  <c:v>4.0810214017989299</c:v>
                </c:pt>
                <c:pt idx="21">
                  <c:v>4.1716201808094802</c:v>
                </c:pt>
                <c:pt idx="22">
                  <c:v>4.26564933194794</c:v>
                </c:pt>
                <c:pt idx="23">
                  <c:v>4.37374428177759</c:v>
                </c:pt>
                <c:pt idx="24">
                  <c:v>4.7638389663336698</c:v>
                </c:pt>
                <c:pt idx="25">
                  <c:v>4.8882581148408804</c:v>
                </c:pt>
                <c:pt idx="26">
                  <c:v>4.9218507700058698</c:v>
                </c:pt>
                <c:pt idx="27">
                  <c:v>4.9637713050524797</c:v>
                </c:pt>
                <c:pt idx="28">
                  <c:v>5.3348983490025201</c:v>
                </c:pt>
                <c:pt idx="29">
                  <c:v>5.3961551433537904</c:v>
                </c:pt>
                <c:pt idx="30">
                  <c:v>5.5456055352364499</c:v>
                </c:pt>
                <c:pt idx="31">
                  <c:v>5.5617311229377897</c:v>
                </c:pt>
                <c:pt idx="32">
                  <c:v>5.63817814639666</c:v>
                </c:pt>
                <c:pt idx="33">
                  <c:v>5.6524552913506598</c:v>
                </c:pt>
                <c:pt idx="34">
                  <c:v>5.6934501706792098</c:v>
                </c:pt>
                <c:pt idx="35">
                  <c:v>6.3181485346184196</c:v>
                </c:pt>
                <c:pt idx="36">
                  <c:v>7.37010338883558</c:v>
                </c:pt>
                <c:pt idx="37">
                  <c:v>7.4362919327476504</c:v>
                </c:pt>
                <c:pt idx="38">
                  <c:v>7.7018709715386802</c:v>
                </c:pt>
              </c:numCache>
            </c:numRef>
          </c:yVal>
          <c:smooth val="1"/>
          <c:extLst>
            <c:ext xmlns:c16="http://schemas.microsoft.com/office/drawing/2014/chart" uri="{C3380CC4-5D6E-409C-BE32-E72D297353CC}">
              <c16:uniqueId val="{00000001-B5C1-4847-BAD4-441810730DCA}"/>
            </c:ext>
          </c:extLst>
        </c:ser>
        <c:ser>
          <c:idx val="2"/>
          <c:order val="2"/>
          <c:tx>
            <c:v>2040</c:v>
          </c:tx>
          <c:spPr>
            <a:ln w="19050" cap="rnd">
              <a:solidFill>
                <a:schemeClr val="accent3"/>
              </a:solidFill>
              <a:round/>
            </a:ln>
            <a:effectLst/>
          </c:spPr>
          <c:marker>
            <c:symbol val="none"/>
          </c:marker>
          <c:xVal>
            <c:numRef>
              <c:f>Brazil!$U$82:$U$121</c:f>
              <c:numCache>
                <c:formatCode>0.0</c:formatCode>
                <c:ptCount val="40"/>
                <c:pt idx="0">
                  <c:v>0</c:v>
                </c:pt>
                <c:pt idx="1">
                  <c:v>0</c:v>
                </c:pt>
                <c:pt idx="2">
                  <c:v>0</c:v>
                </c:pt>
                <c:pt idx="3">
                  <c:v>63.781089999999999</c:v>
                </c:pt>
                <c:pt idx="4">
                  <c:v>63.781089999999999</c:v>
                </c:pt>
                <c:pt idx="5">
                  <c:v>63.781089999999999</c:v>
                </c:pt>
                <c:pt idx="6">
                  <c:v>63.781089999999999</c:v>
                </c:pt>
                <c:pt idx="7">
                  <c:v>63.781089999999999</c:v>
                </c:pt>
                <c:pt idx="8">
                  <c:v>63.781089999999999</c:v>
                </c:pt>
                <c:pt idx="9">
                  <c:v>63.781089999999999</c:v>
                </c:pt>
                <c:pt idx="10">
                  <c:v>63.781089999999999</c:v>
                </c:pt>
                <c:pt idx="11">
                  <c:v>73.028130000000004</c:v>
                </c:pt>
                <c:pt idx="12">
                  <c:v>73.028130000000004</c:v>
                </c:pt>
                <c:pt idx="13">
                  <c:v>73.028130000000004</c:v>
                </c:pt>
                <c:pt idx="14">
                  <c:v>73.028130000000004</c:v>
                </c:pt>
                <c:pt idx="15">
                  <c:v>77.828130000000002</c:v>
                </c:pt>
                <c:pt idx="16">
                  <c:v>77.828130000000002</c:v>
                </c:pt>
                <c:pt idx="17">
                  <c:v>77.828130000000002</c:v>
                </c:pt>
                <c:pt idx="18">
                  <c:v>77.828130000000002</c:v>
                </c:pt>
                <c:pt idx="19">
                  <c:v>77.828130000000002</c:v>
                </c:pt>
                <c:pt idx="20">
                  <c:v>77.828130000000002</c:v>
                </c:pt>
                <c:pt idx="21">
                  <c:v>77.828130000000002</c:v>
                </c:pt>
                <c:pt idx="22">
                  <c:v>77.828130000000002</c:v>
                </c:pt>
                <c:pt idx="23">
                  <c:v>77.828130000000002</c:v>
                </c:pt>
                <c:pt idx="24">
                  <c:v>77.828130000000002</c:v>
                </c:pt>
                <c:pt idx="25">
                  <c:v>77.828130000000002</c:v>
                </c:pt>
                <c:pt idx="26">
                  <c:v>77.828130000000002</c:v>
                </c:pt>
                <c:pt idx="27">
                  <c:v>77.828130000000002</c:v>
                </c:pt>
                <c:pt idx="28">
                  <c:v>77.828130000000002</c:v>
                </c:pt>
                <c:pt idx="29">
                  <c:v>77.828130000000002</c:v>
                </c:pt>
                <c:pt idx="30">
                  <c:v>77.828130000000002</c:v>
                </c:pt>
                <c:pt idx="31">
                  <c:v>77.828130000000002</c:v>
                </c:pt>
                <c:pt idx="32">
                  <c:v>77.828130000000002</c:v>
                </c:pt>
                <c:pt idx="33">
                  <c:v>77.828130000000002</c:v>
                </c:pt>
                <c:pt idx="34">
                  <c:v>77.828130000000002</c:v>
                </c:pt>
                <c:pt idx="35">
                  <c:v>77.828130000000002</c:v>
                </c:pt>
                <c:pt idx="36">
                  <c:v>77.828130000000002</c:v>
                </c:pt>
                <c:pt idx="37">
                  <c:v>77.828130000000002</c:v>
                </c:pt>
                <c:pt idx="38">
                  <c:v>77.828130000000002</c:v>
                </c:pt>
                <c:pt idx="39">
                  <c:v>77.828130000000002</c:v>
                </c:pt>
              </c:numCache>
            </c:numRef>
          </c:xVal>
          <c:yVal>
            <c:numRef>
              <c:f>Brazil!$R$82:$R$121</c:f>
              <c:numCache>
                <c:formatCode>0.0</c:formatCode>
                <c:ptCount val="40"/>
                <c:pt idx="0">
                  <c:v>0.94894005646818602</c:v>
                </c:pt>
                <c:pt idx="1">
                  <c:v>2.48378515356353</c:v>
                </c:pt>
                <c:pt idx="2">
                  <c:v>2.5378296084273599</c:v>
                </c:pt>
                <c:pt idx="3">
                  <c:v>2.6922713951091399</c:v>
                </c:pt>
                <c:pt idx="4">
                  <c:v>2.70607664139051</c:v>
                </c:pt>
                <c:pt idx="5">
                  <c:v>3.0891362961747499</c:v>
                </c:pt>
                <c:pt idx="6">
                  <c:v>3.20227845087103</c:v>
                </c:pt>
                <c:pt idx="7">
                  <c:v>3.77906838984247</c:v>
                </c:pt>
                <c:pt idx="8">
                  <c:v>3.8431632510537699</c:v>
                </c:pt>
                <c:pt idx="9">
                  <c:v>3.97160264423708</c:v>
                </c:pt>
                <c:pt idx="10">
                  <c:v>4.0003711425077704</c:v>
                </c:pt>
                <c:pt idx="11">
                  <c:v>4.5828532406880296</c:v>
                </c:pt>
                <c:pt idx="12">
                  <c:v>4.85711998252523</c:v>
                </c:pt>
                <c:pt idx="13">
                  <c:v>5.0436798161976801</c:v>
                </c:pt>
                <c:pt idx="14">
                  <c:v>5.2559809629503</c:v>
                </c:pt>
                <c:pt idx="15">
                  <c:v>5.2957573993252298</c:v>
                </c:pt>
                <c:pt idx="16">
                  <c:v>5.3621157953944003</c:v>
                </c:pt>
                <c:pt idx="17">
                  <c:v>5.3790481868434901</c:v>
                </c:pt>
                <c:pt idx="18">
                  <c:v>5.4947433523744804</c:v>
                </c:pt>
                <c:pt idx="19">
                  <c:v>5.7057805137887501</c:v>
                </c:pt>
                <c:pt idx="20">
                  <c:v>5.7419495449322104</c:v>
                </c:pt>
                <c:pt idx="21">
                  <c:v>5.96560479661012</c:v>
                </c:pt>
                <c:pt idx="22">
                  <c:v>6.0435473841450396</c:v>
                </c:pt>
                <c:pt idx="23">
                  <c:v>6.05985811148396</c:v>
                </c:pt>
                <c:pt idx="24">
                  <c:v>6.0729874510438497</c:v>
                </c:pt>
                <c:pt idx="25">
                  <c:v>6.2729394007407198</c:v>
                </c:pt>
                <c:pt idx="26">
                  <c:v>6.3091471053654997</c:v>
                </c:pt>
                <c:pt idx="27">
                  <c:v>6.46578298680536</c:v>
                </c:pt>
                <c:pt idx="28">
                  <c:v>6.8376113731186203</c:v>
                </c:pt>
                <c:pt idx="29">
                  <c:v>6.8715113970359702</c:v>
                </c:pt>
                <c:pt idx="30">
                  <c:v>7.1368080252261104</c:v>
                </c:pt>
                <c:pt idx="31">
                  <c:v>7.2280836376061401</c:v>
                </c:pt>
                <c:pt idx="32">
                  <c:v>7.35440163940142</c:v>
                </c:pt>
                <c:pt idx="33">
                  <c:v>7.4376311743879304</c:v>
                </c:pt>
                <c:pt idx="34">
                  <c:v>7.6198328704265297</c:v>
                </c:pt>
                <c:pt idx="35">
                  <c:v>7.6603587380262699</c:v>
                </c:pt>
                <c:pt idx="36">
                  <c:v>8.0310635798063998</c:v>
                </c:pt>
                <c:pt idx="37">
                  <c:v>8.3052880724456895</c:v>
                </c:pt>
                <c:pt idx="38">
                  <c:v>8.3752484380335197</c:v>
                </c:pt>
                <c:pt idx="39">
                  <c:v>9.2091652231719703</c:v>
                </c:pt>
              </c:numCache>
            </c:numRef>
          </c:yVal>
          <c:smooth val="1"/>
          <c:extLst>
            <c:ext xmlns:c16="http://schemas.microsoft.com/office/drawing/2014/chart" uri="{C3380CC4-5D6E-409C-BE32-E72D297353CC}">
              <c16:uniqueId val="{00000002-B5C1-4847-BAD4-441810730DCA}"/>
            </c:ext>
          </c:extLst>
        </c:ser>
        <c:dLbls>
          <c:showLegendKey val="0"/>
          <c:showVal val="0"/>
          <c:showCatName val="0"/>
          <c:showSerName val="0"/>
          <c:showPercent val="0"/>
          <c:showBubbleSize val="0"/>
        </c:dLbls>
        <c:axId val="1991741567"/>
        <c:axId val="1991741983"/>
      </c:scatterChart>
      <c:valAx>
        <c:axId val="1991741567"/>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1741983"/>
        <c:crosses val="autoZero"/>
        <c:crossBetween val="midCat"/>
      </c:valAx>
      <c:valAx>
        <c:axId val="1991741983"/>
        <c:scaling>
          <c:orientation val="minMax"/>
          <c:max val="9"/>
          <c:min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1741567"/>
        <c:crosses val="autoZero"/>
        <c:crossBetween val="midCat"/>
        <c:majorUnit val="1"/>
      </c:valAx>
      <c:spPr>
        <a:noFill/>
        <a:ln>
          <a:noFill/>
        </a:ln>
        <a:effectLst/>
      </c:spPr>
    </c:plotArea>
    <c:legend>
      <c:legendPos val="b"/>
      <c:layout>
        <c:manualLayout>
          <c:xMode val="edge"/>
          <c:yMode val="edge"/>
          <c:x val="0.12672744854261642"/>
          <c:y val="0.91827030446513735"/>
          <c:w val="0.8278598563337477"/>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Sheet1!$A$7</c:f>
              <c:strCache>
                <c:ptCount val="1"/>
                <c:pt idx="0">
                  <c:v>Asia</c:v>
                </c:pt>
              </c:strCache>
            </c:strRef>
          </c:tx>
          <c:spPr>
            <a:ln w="28575" cap="rnd">
              <a:solidFill>
                <a:schemeClr val="accent2"/>
              </a:solidFill>
              <a:round/>
            </a:ln>
            <a:effectLst/>
          </c:spPr>
          <c:marker>
            <c:symbol val="none"/>
          </c:marker>
          <c:cat>
            <c:numRef>
              <c:f>Sheet1!$AJ$4:$BE$4</c:f>
              <c:numCache>
                <c:formatCode>General</c:formatCode>
                <c:ptCount val="22"/>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numCache>
            </c:numRef>
          </c:cat>
          <c:val>
            <c:numRef>
              <c:f>Sheet1!$AJ$9:$BE$9</c:f>
              <c:numCache>
                <c:formatCode>0.0</c:formatCode>
                <c:ptCount val="22"/>
                <c:pt idx="0">
                  <c:v>5.41082351922</c:v>
                </c:pt>
                <c:pt idx="1">
                  <c:v>5.4021217112800004</c:v>
                </c:pt>
                <c:pt idx="2">
                  <c:v>5.8238913875399998</c:v>
                </c:pt>
                <c:pt idx="3">
                  <c:v>5.3138408609400001</c:v>
                </c:pt>
                <c:pt idx="4">
                  <c:v>5.1332996476799995</c:v>
                </c:pt>
                <c:pt idx="5">
                  <c:v>5.4302832105399998</c:v>
                </c:pt>
                <c:pt idx="6">
                  <c:v>5.7935976814000005</c:v>
                </c:pt>
                <c:pt idx="7">
                  <c:v>5.6084944975100006</c:v>
                </c:pt>
                <c:pt idx="8">
                  <c:v>5.7997294226900005</c:v>
                </c:pt>
                <c:pt idx="9">
                  <c:v>5.9179928139000006</c:v>
                </c:pt>
                <c:pt idx="10">
                  <c:v>6.1257542566300005</c:v>
                </c:pt>
                <c:pt idx="11">
                  <c:v>5.9904151728400006</c:v>
                </c:pt>
                <c:pt idx="12">
                  <c:v>6.1108137928400001</c:v>
                </c:pt>
                <c:pt idx="13">
                  <c:v>5.9562255617200011</c:v>
                </c:pt>
                <c:pt idx="14">
                  <c:v>6.3753848044700003</c:v>
                </c:pt>
                <c:pt idx="15">
                  <c:v>6.2012805377999998</c:v>
                </c:pt>
                <c:pt idx="16">
                  <c:v>6.2744069181999995</c:v>
                </c:pt>
                <c:pt idx="17">
                  <c:v>6.4638957095</c:v>
                </c:pt>
                <c:pt idx="18">
                  <c:v>6.4992609407000002</c:v>
                </c:pt>
                <c:pt idx="19">
                  <c:v>6.6319544462000009</c:v>
                </c:pt>
                <c:pt idx="20">
                  <c:v>6.6375421604999998</c:v>
                </c:pt>
                <c:pt idx="21">
                  <c:v>6.679423582800001</c:v>
                </c:pt>
              </c:numCache>
            </c:numRef>
          </c:val>
          <c:smooth val="0"/>
          <c:extLst>
            <c:ext xmlns:c16="http://schemas.microsoft.com/office/drawing/2014/chart" uri="{C3380CC4-5D6E-409C-BE32-E72D297353CC}">
              <c16:uniqueId val="{00000000-B6FE-4E68-A948-EEB89D5D08B0}"/>
            </c:ext>
          </c:extLst>
        </c:ser>
        <c:ser>
          <c:idx val="2"/>
          <c:order val="1"/>
          <c:tx>
            <c:strRef>
              <c:f>Sheet1!$A$6</c:f>
              <c:strCache>
                <c:ptCount val="1"/>
                <c:pt idx="0">
                  <c:v>Europe</c:v>
                </c:pt>
              </c:strCache>
            </c:strRef>
          </c:tx>
          <c:spPr>
            <a:ln w="28575" cap="rnd">
              <a:solidFill>
                <a:schemeClr val="accent3"/>
              </a:solidFill>
              <a:round/>
            </a:ln>
            <a:effectLst/>
          </c:spPr>
          <c:marker>
            <c:symbol val="none"/>
          </c:marker>
          <c:cat>
            <c:numRef>
              <c:f>Sheet1!$AJ$4:$BE$4</c:f>
              <c:numCache>
                <c:formatCode>General</c:formatCode>
                <c:ptCount val="22"/>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numCache>
            </c:numRef>
          </c:cat>
          <c:val>
            <c:numRef>
              <c:f>Sheet1!$AJ$10:$BE$10</c:f>
              <c:numCache>
                <c:formatCode>0.0</c:formatCode>
                <c:ptCount val="22"/>
                <c:pt idx="0">
                  <c:v>4.5712241198900001</c:v>
                </c:pt>
                <c:pt idx="1">
                  <c:v>4.1756235646400004</c:v>
                </c:pt>
                <c:pt idx="2">
                  <c:v>4.5868023838300003</c:v>
                </c:pt>
                <c:pt idx="3">
                  <c:v>4.3903119188300002</c:v>
                </c:pt>
                <c:pt idx="4">
                  <c:v>4.12202768538</c:v>
                </c:pt>
                <c:pt idx="5">
                  <c:v>4.6145015856500002</c:v>
                </c:pt>
                <c:pt idx="6">
                  <c:v>4.6754262484800009</c:v>
                </c:pt>
                <c:pt idx="7">
                  <c:v>4.68170511824</c:v>
                </c:pt>
                <c:pt idx="8">
                  <c:v>4.8648394355100004</c:v>
                </c:pt>
                <c:pt idx="9">
                  <c:v>4.9751864084399999</c:v>
                </c:pt>
                <c:pt idx="10">
                  <c:v>5.1722342665999994</c:v>
                </c:pt>
                <c:pt idx="11">
                  <c:v>5.0301934302400007</c:v>
                </c:pt>
                <c:pt idx="12">
                  <c:v>5.1491679804599997</c:v>
                </c:pt>
                <c:pt idx="13">
                  <c:v>5.7942533340800004</c:v>
                </c:pt>
                <c:pt idx="14">
                  <c:v>5.9119294779399993</c:v>
                </c:pt>
                <c:pt idx="15">
                  <c:v>6.03599850218</c:v>
                </c:pt>
                <c:pt idx="16">
                  <c:v>6.1081641226199999</c:v>
                </c:pt>
                <c:pt idx="17">
                  <c:v>6.2948859238000008</c:v>
                </c:pt>
                <c:pt idx="18">
                  <c:v>6.3302007196899996</c:v>
                </c:pt>
                <c:pt idx="19">
                  <c:v>6.4612841479400007</c:v>
                </c:pt>
                <c:pt idx="20">
                  <c:v>6.4671766130700004</c:v>
                </c:pt>
                <c:pt idx="21">
                  <c:v>6.5086723497199994</c:v>
                </c:pt>
              </c:numCache>
            </c:numRef>
          </c:val>
          <c:smooth val="0"/>
          <c:extLst>
            <c:ext xmlns:c16="http://schemas.microsoft.com/office/drawing/2014/chart" uri="{C3380CC4-5D6E-409C-BE32-E72D297353CC}">
              <c16:uniqueId val="{00000001-B6FE-4E68-A948-EEB89D5D08B0}"/>
            </c:ext>
          </c:extLst>
        </c:ser>
        <c:ser>
          <c:idx val="3"/>
          <c:order val="2"/>
          <c:tx>
            <c:strRef>
              <c:f>Sheet1!$A$5</c:f>
              <c:strCache>
                <c:ptCount val="1"/>
                <c:pt idx="0">
                  <c:v>Latin America</c:v>
                </c:pt>
              </c:strCache>
            </c:strRef>
          </c:tx>
          <c:spPr>
            <a:ln w="28575" cap="rnd">
              <a:solidFill>
                <a:schemeClr val="accent4"/>
              </a:solidFill>
              <a:round/>
            </a:ln>
            <a:effectLst/>
          </c:spPr>
          <c:marker>
            <c:symbol val="none"/>
          </c:marker>
          <c:cat>
            <c:numRef>
              <c:f>Sheet1!$AJ$4:$BE$4</c:f>
              <c:numCache>
                <c:formatCode>General</c:formatCode>
                <c:ptCount val="22"/>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numCache>
            </c:numRef>
          </c:cat>
          <c:val>
            <c:numRef>
              <c:f>Sheet1!$AJ$11:$BE$11</c:f>
              <c:numCache>
                <c:formatCode>0.0</c:formatCode>
                <c:ptCount val="22"/>
                <c:pt idx="0">
                  <c:v>2.07664181605</c:v>
                </c:pt>
                <c:pt idx="1">
                  <c:v>1.9628357625275001</c:v>
                </c:pt>
                <c:pt idx="2">
                  <c:v>2.4905129978899998</c:v>
                </c:pt>
                <c:pt idx="3">
                  <c:v>2.8254707211399999</c:v>
                </c:pt>
                <c:pt idx="4">
                  <c:v>3.0153593508500003</c:v>
                </c:pt>
                <c:pt idx="5">
                  <c:v>3.2550327423699996</c:v>
                </c:pt>
                <c:pt idx="6">
                  <c:v>3.3520542014200001</c:v>
                </c:pt>
                <c:pt idx="7">
                  <c:v>3.366377343495</c:v>
                </c:pt>
                <c:pt idx="8">
                  <c:v>3.3903404530499999</c:v>
                </c:pt>
                <c:pt idx="9">
                  <c:v>3.5119130032500001</c:v>
                </c:pt>
                <c:pt idx="10">
                  <c:v>3.7342230760250001</c:v>
                </c:pt>
                <c:pt idx="11">
                  <c:v>3.8984694664099995</c:v>
                </c:pt>
                <c:pt idx="12">
                  <c:v>3.8308630834749997</c:v>
                </c:pt>
                <c:pt idx="13">
                  <c:v>3.9494628886150003</c:v>
                </c:pt>
                <c:pt idx="14">
                  <c:v>4.0186309806349998</c:v>
                </c:pt>
                <c:pt idx="15">
                  <c:v>3.9461235246349999</c:v>
                </c:pt>
                <c:pt idx="16">
                  <c:v>3.9453242931249997</c:v>
                </c:pt>
                <c:pt idx="17">
                  <c:v>3.8955779914700002</c:v>
                </c:pt>
                <c:pt idx="18">
                  <c:v>3.9793618981250001</c:v>
                </c:pt>
                <c:pt idx="19">
                  <c:v>4.0973425841750002</c:v>
                </c:pt>
                <c:pt idx="20">
                  <c:v>4.1502728181849999</c:v>
                </c:pt>
                <c:pt idx="21">
                  <c:v>4.24581402991</c:v>
                </c:pt>
              </c:numCache>
            </c:numRef>
          </c:val>
          <c:smooth val="0"/>
          <c:extLst>
            <c:ext xmlns:c16="http://schemas.microsoft.com/office/drawing/2014/chart" uri="{C3380CC4-5D6E-409C-BE32-E72D297353CC}">
              <c16:uniqueId val="{00000002-B6FE-4E68-A948-EEB89D5D08B0}"/>
            </c:ext>
          </c:extLst>
        </c:ser>
        <c:dLbls>
          <c:showLegendKey val="0"/>
          <c:showVal val="0"/>
          <c:showCatName val="0"/>
          <c:showSerName val="0"/>
          <c:showPercent val="0"/>
          <c:showBubbleSize val="0"/>
        </c:dLbls>
        <c:smooth val="0"/>
        <c:axId val="1043877775"/>
        <c:axId val="1043878607"/>
      </c:lineChart>
      <c:catAx>
        <c:axId val="1043877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3878607"/>
        <c:crosses val="autoZero"/>
        <c:auto val="1"/>
        <c:lblAlgn val="ctr"/>
        <c:lblOffset val="100"/>
        <c:noMultiLvlLbl val="0"/>
      </c:catAx>
      <c:valAx>
        <c:axId val="104387860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3877775"/>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32972440944883"/>
          <c:y val="7.9710144927536225E-2"/>
          <c:w val="0.83425229658792655"/>
          <c:h val="0.62497432386169116"/>
        </c:manualLayout>
      </c:layout>
      <c:lineChart>
        <c:grouping val="standard"/>
        <c:varyColors val="0"/>
        <c:ser>
          <c:idx val="1"/>
          <c:order val="0"/>
          <c:tx>
            <c:strRef>
              <c:f>Sheet1!$AT$16</c:f>
              <c:strCache>
                <c:ptCount val="1"/>
                <c:pt idx="0">
                  <c:v>Oversupply Case</c:v>
                </c:pt>
              </c:strCache>
            </c:strRef>
          </c:tx>
          <c:spPr>
            <a:ln w="28575" cap="rnd">
              <a:solidFill>
                <a:schemeClr val="accent2"/>
              </a:solidFill>
              <a:round/>
            </a:ln>
            <a:effectLst/>
          </c:spPr>
          <c:marker>
            <c:symbol val="none"/>
          </c:marker>
          <c:cat>
            <c:numRef>
              <c:f>Sheet1!$AJ$4:$BE$4</c:f>
              <c:numCache>
                <c:formatCode>General</c:formatCode>
                <c:ptCount val="22"/>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numCache>
            </c:numRef>
          </c:cat>
          <c:val>
            <c:numRef>
              <c:f>Sheet1!$AJ$9:$BE$9</c:f>
              <c:numCache>
                <c:formatCode>0.0</c:formatCode>
                <c:ptCount val="22"/>
                <c:pt idx="0">
                  <c:v>5.41082351922</c:v>
                </c:pt>
                <c:pt idx="1">
                  <c:v>5.4021217112800004</c:v>
                </c:pt>
                <c:pt idx="2">
                  <c:v>5.8238913875399998</c:v>
                </c:pt>
                <c:pt idx="3">
                  <c:v>5.3138408609400001</c:v>
                </c:pt>
                <c:pt idx="4">
                  <c:v>5.1332996476799995</c:v>
                </c:pt>
                <c:pt idx="5">
                  <c:v>5.4302832105399998</c:v>
                </c:pt>
                <c:pt idx="6">
                  <c:v>5.7935976814000005</c:v>
                </c:pt>
                <c:pt idx="7">
                  <c:v>5.6084944975100006</c:v>
                </c:pt>
                <c:pt idx="8">
                  <c:v>5.7997294226900005</c:v>
                </c:pt>
                <c:pt idx="9">
                  <c:v>5.9179928139000006</c:v>
                </c:pt>
                <c:pt idx="10">
                  <c:v>6.1257542566300005</c:v>
                </c:pt>
                <c:pt idx="11">
                  <c:v>5.9904151728400006</c:v>
                </c:pt>
                <c:pt idx="12">
                  <c:v>6.1108137928400001</c:v>
                </c:pt>
                <c:pt idx="13">
                  <c:v>5.9562255617200011</c:v>
                </c:pt>
                <c:pt idx="14">
                  <c:v>6.3753848044700003</c:v>
                </c:pt>
                <c:pt idx="15">
                  <c:v>6.2012805377999998</c:v>
                </c:pt>
                <c:pt idx="16">
                  <c:v>6.2744069181999995</c:v>
                </c:pt>
                <c:pt idx="17">
                  <c:v>6.4638957095</c:v>
                </c:pt>
                <c:pt idx="18">
                  <c:v>6.4992609407000002</c:v>
                </c:pt>
                <c:pt idx="19">
                  <c:v>6.6319544462000009</c:v>
                </c:pt>
                <c:pt idx="20">
                  <c:v>6.6375421604999998</c:v>
                </c:pt>
                <c:pt idx="21">
                  <c:v>6.679423582800001</c:v>
                </c:pt>
              </c:numCache>
            </c:numRef>
          </c:val>
          <c:smooth val="0"/>
          <c:extLst>
            <c:ext xmlns:c16="http://schemas.microsoft.com/office/drawing/2014/chart" uri="{C3380CC4-5D6E-409C-BE32-E72D297353CC}">
              <c16:uniqueId val="{00000000-FB95-4178-B958-2190FB2E2131}"/>
            </c:ext>
          </c:extLst>
        </c:ser>
        <c:ser>
          <c:idx val="2"/>
          <c:order val="1"/>
          <c:tx>
            <c:strRef>
              <c:f>Sheet1!$AT$15</c:f>
              <c:strCache>
                <c:ptCount val="1"/>
                <c:pt idx="0">
                  <c:v>Ref. Case</c:v>
                </c:pt>
              </c:strCache>
            </c:strRef>
          </c:tx>
          <c:spPr>
            <a:ln w="28575" cap="rnd">
              <a:solidFill>
                <a:schemeClr val="accent3"/>
              </a:solidFill>
              <a:round/>
            </a:ln>
            <a:effectLst/>
          </c:spPr>
          <c:marker>
            <c:symbol val="none"/>
          </c:marker>
          <c:cat>
            <c:numRef>
              <c:f>Sheet1!$AJ$4:$BE$4</c:f>
              <c:numCache>
                <c:formatCode>General</c:formatCode>
                <c:ptCount val="22"/>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numCache>
            </c:numRef>
          </c:cat>
          <c:val>
            <c:numRef>
              <c:f>Sheet1!$AJ$7:$BE$7</c:f>
              <c:numCache>
                <c:formatCode>General</c:formatCode>
                <c:ptCount val="22"/>
                <c:pt idx="0">
                  <c:v>5.41082351922</c:v>
                </c:pt>
                <c:pt idx="1">
                  <c:v>5.4021217112800004</c:v>
                </c:pt>
                <c:pt idx="2">
                  <c:v>5.8238913875399998</c:v>
                </c:pt>
                <c:pt idx="3">
                  <c:v>6.0138408609400003</c:v>
                </c:pt>
                <c:pt idx="4">
                  <c:v>6.8332996476799996</c:v>
                </c:pt>
                <c:pt idx="5">
                  <c:v>7.7302832105399997</c:v>
                </c:pt>
                <c:pt idx="6">
                  <c:v>8.4935976814000007</c:v>
                </c:pt>
                <c:pt idx="7">
                  <c:v>8.9084944975100004</c:v>
                </c:pt>
                <c:pt idx="8">
                  <c:v>9.0997294226900003</c:v>
                </c:pt>
                <c:pt idx="9">
                  <c:v>9.2179928139000005</c:v>
                </c:pt>
                <c:pt idx="10">
                  <c:v>9.4257542566300003</c:v>
                </c:pt>
                <c:pt idx="11">
                  <c:v>9.5904151728400002</c:v>
                </c:pt>
                <c:pt idx="12">
                  <c:v>9.7108137928399998</c:v>
                </c:pt>
                <c:pt idx="13">
                  <c:v>9.7562255617200009</c:v>
                </c:pt>
                <c:pt idx="14">
                  <c:v>9.8753848044700003</c:v>
                </c:pt>
                <c:pt idx="15">
                  <c:v>10.0012805378</c:v>
                </c:pt>
                <c:pt idx="16">
                  <c:v>10.074406918199999</c:v>
                </c:pt>
                <c:pt idx="17">
                  <c:v>10.2638957095</c:v>
                </c:pt>
                <c:pt idx="18">
                  <c:v>10.2992609407</c:v>
                </c:pt>
                <c:pt idx="19">
                  <c:v>10.431954446200001</c:v>
                </c:pt>
                <c:pt idx="20">
                  <c:v>10.4375421605</c:v>
                </c:pt>
                <c:pt idx="21">
                  <c:v>10.479423582800001</c:v>
                </c:pt>
              </c:numCache>
            </c:numRef>
          </c:val>
          <c:smooth val="0"/>
          <c:extLst>
            <c:ext xmlns:c16="http://schemas.microsoft.com/office/drawing/2014/chart" uri="{C3380CC4-5D6E-409C-BE32-E72D297353CC}">
              <c16:uniqueId val="{00000001-FB95-4178-B958-2190FB2E2131}"/>
            </c:ext>
          </c:extLst>
        </c:ser>
        <c:dLbls>
          <c:showLegendKey val="0"/>
          <c:showVal val="0"/>
          <c:showCatName val="0"/>
          <c:showSerName val="0"/>
          <c:showPercent val="0"/>
          <c:showBubbleSize val="0"/>
        </c:dLbls>
        <c:smooth val="0"/>
        <c:axId val="1043877775"/>
        <c:axId val="1043878607"/>
      </c:lineChart>
      <c:catAx>
        <c:axId val="1043877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3878607"/>
        <c:crosses val="autoZero"/>
        <c:auto val="1"/>
        <c:lblAlgn val="ctr"/>
        <c:lblOffset val="100"/>
        <c:tickLblSkip val="1"/>
        <c:noMultiLvlLbl val="0"/>
      </c:catAx>
      <c:valAx>
        <c:axId val="104387860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3877775"/>
        <c:crosses val="autoZero"/>
        <c:crossBetween val="between"/>
        <c:majorUnit val="2.5"/>
      </c:valAx>
      <c:spPr>
        <a:noFill/>
        <a:ln>
          <a:noFill/>
        </a:ln>
        <a:effectLst/>
      </c:spPr>
    </c:plotArea>
    <c:legend>
      <c:legendPos val="b"/>
      <c:layout>
        <c:manualLayout>
          <c:xMode val="edge"/>
          <c:yMode val="edge"/>
          <c:x val="9.5503280839895011E-2"/>
          <c:y val="0.87771653543307082"/>
          <c:w val="0.81732677165354328"/>
          <c:h val="0.122283464566929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32972440944883"/>
          <c:y val="7.9710144927536225E-2"/>
          <c:w val="0.83425229658792655"/>
          <c:h val="0.62497432386169116"/>
        </c:manualLayout>
      </c:layout>
      <c:lineChart>
        <c:grouping val="standard"/>
        <c:varyColors val="0"/>
        <c:ser>
          <c:idx val="1"/>
          <c:order val="0"/>
          <c:tx>
            <c:strRef>
              <c:f>Sheet1!$AT$16</c:f>
              <c:strCache>
                <c:ptCount val="1"/>
                <c:pt idx="0">
                  <c:v>Oversupply Case</c:v>
                </c:pt>
              </c:strCache>
            </c:strRef>
          </c:tx>
          <c:spPr>
            <a:ln w="28575" cap="rnd">
              <a:solidFill>
                <a:schemeClr val="accent2"/>
              </a:solidFill>
              <a:round/>
            </a:ln>
            <a:effectLst/>
          </c:spPr>
          <c:marker>
            <c:symbol val="none"/>
          </c:marker>
          <c:cat>
            <c:numRef>
              <c:f>Sheet1!$AJ$4:$BE$4</c:f>
              <c:numCache>
                <c:formatCode>General</c:formatCode>
                <c:ptCount val="22"/>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numCache>
            </c:numRef>
          </c:cat>
          <c:val>
            <c:numRef>
              <c:f>Sheet1!$AJ$10:$BE$10</c:f>
              <c:numCache>
                <c:formatCode>0.0</c:formatCode>
                <c:ptCount val="22"/>
                <c:pt idx="0">
                  <c:v>4.5712241198900001</c:v>
                </c:pt>
                <c:pt idx="1">
                  <c:v>4.1756235646400004</c:v>
                </c:pt>
                <c:pt idx="2">
                  <c:v>4.5868023838300003</c:v>
                </c:pt>
                <c:pt idx="3">
                  <c:v>4.3903119188300002</c:v>
                </c:pt>
                <c:pt idx="4">
                  <c:v>4.12202768538</c:v>
                </c:pt>
                <c:pt idx="5">
                  <c:v>4.6145015856500002</c:v>
                </c:pt>
                <c:pt idx="6">
                  <c:v>4.6754262484800009</c:v>
                </c:pt>
                <c:pt idx="7">
                  <c:v>4.68170511824</c:v>
                </c:pt>
                <c:pt idx="8">
                  <c:v>4.8648394355100004</c:v>
                </c:pt>
                <c:pt idx="9">
                  <c:v>4.9751864084399999</c:v>
                </c:pt>
                <c:pt idx="10">
                  <c:v>5.1722342665999994</c:v>
                </c:pt>
                <c:pt idx="11">
                  <c:v>5.0301934302400007</c:v>
                </c:pt>
                <c:pt idx="12">
                  <c:v>5.1491679804599997</c:v>
                </c:pt>
                <c:pt idx="13">
                  <c:v>5.7942533340800004</c:v>
                </c:pt>
                <c:pt idx="14">
                  <c:v>5.9119294779399993</c:v>
                </c:pt>
                <c:pt idx="15">
                  <c:v>6.03599850218</c:v>
                </c:pt>
                <c:pt idx="16">
                  <c:v>6.1081641226199999</c:v>
                </c:pt>
                <c:pt idx="17">
                  <c:v>6.2948859238000008</c:v>
                </c:pt>
                <c:pt idx="18">
                  <c:v>6.3302007196899996</c:v>
                </c:pt>
                <c:pt idx="19">
                  <c:v>6.4612841479400007</c:v>
                </c:pt>
                <c:pt idx="20">
                  <c:v>6.4671766130700004</c:v>
                </c:pt>
                <c:pt idx="21">
                  <c:v>6.5086723497199994</c:v>
                </c:pt>
              </c:numCache>
            </c:numRef>
          </c:val>
          <c:smooth val="0"/>
          <c:extLst>
            <c:ext xmlns:c16="http://schemas.microsoft.com/office/drawing/2014/chart" uri="{C3380CC4-5D6E-409C-BE32-E72D297353CC}">
              <c16:uniqueId val="{00000000-6B63-479C-B5D8-4DE1EC3F4B1A}"/>
            </c:ext>
          </c:extLst>
        </c:ser>
        <c:ser>
          <c:idx val="2"/>
          <c:order val="1"/>
          <c:tx>
            <c:strRef>
              <c:f>Sheet1!$AT$15</c:f>
              <c:strCache>
                <c:ptCount val="1"/>
                <c:pt idx="0">
                  <c:v>Ref. Case</c:v>
                </c:pt>
              </c:strCache>
            </c:strRef>
          </c:tx>
          <c:spPr>
            <a:ln w="28575" cap="rnd">
              <a:solidFill>
                <a:schemeClr val="accent3"/>
              </a:solidFill>
              <a:round/>
            </a:ln>
            <a:effectLst/>
          </c:spPr>
          <c:marker>
            <c:symbol val="none"/>
          </c:marker>
          <c:cat>
            <c:numRef>
              <c:f>Sheet1!$AJ$4:$BE$4</c:f>
              <c:numCache>
                <c:formatCode>General</c:formatCode>
                <c:ptCount val="22"/>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numCache>
            </c:numRef>
          </c:cat>
          <c:val>
            <c:numRef>
              <c:f>Sheet1!$AJ$6:$BE$6</c:f>
              <c:numCache>
                <c:formatCode>General</c:formatCode>
                <c:ptCount val="22"/>
                <c:pt idx="0">
                  <c:v>4.5712241198900001</c:v>
                </c:pt>
                <c:pt idx="1">
                  <c:v>4.1756235646400004</c:v>
                </c:pt>
                <c:pt idx="2">
                  <c:v>4.5868023838300003</c:v>
                </c:pt>
                <c:pt idx="3">
                  <c:v>4.8903119188300002</c:v>
                </c:pt>
                <c:pt idx="4">
                  <c:v>5.8220276853800002</c:v>
                </c:pt>
                <c:pt idx="5">
                  <c:v>6.8145015856500004</c:v>
                </c:pt>
                <c:pt idx="6">
                  <c:v>7.5754262484800003</c:v>
                </c:pt>
                <c:pt idx="7">
                  <c:v>7.9817051182399998</c:v>
                </c:pt>
                <c:pt idx="8">
                  <c:v>8.1648394355100002</c:v>
                </c:pt>
                <c:pt idx="9">
                  <c:v>8.2751864084399998</c:v>
                </c:pt>
                <c:pt idx="10">
                  <c:v>8.4722342665999992</c:v>
                </c:pt>
                <c:pt idx="11">
                  <c:v>8.6301934302400003</c:v>
                </c:pt>
                <c:pt idx="12">
                  <c:v>8.7491679804599993</c:v>
                </c:pt>
                <c:pt idx="13">
                  <c:v>8.7942533340800004</c:v>
                </c:pt>
                <c:pt idx="14">
                  <c:v>8.9119294779399993</c:v>
                </c:pt>
                <c:pt idx="15">
                  <c:v>9.03599850218</c:v>
                </c:pt>
                <c:pt idx="16">
                  <c:v>9.1081641226199999</c:v>
                </c:pt>
                <c:pt idx="17">
                  <c:v>9.2948859238000008</c:v>
                </c:pt>
                <c:pt idx="18">
                  <c:v>9.3302007196899996</c:v>
                </c:pt>
                <c:pt idx="19">
                  <c:v>9.4612841479400007</c:v>
                </c:pt>
                <c:pt idx="20">
                  <c:v>9.4671766130700004</c:v>
                </c:pt>
                <c:pt idx="21">
                  <c:v>9.5086723497199994</c:v>
                </c:pt>
              </c:numCache>
            </c:numRef>
          </c:val>
          <c:smooth val="0"/>
          <c:extLst>
            <c:ext xmlns:c16="http://schemas.microsoft.com/office/drawing/2014/chart" uri="{C3380CC4-5D6E-409C-BE32-E72D297353CC}">
              <c16:uniqueId val="{00000001-6B63-479C-B5D8-4DE1EC3F4B1A}"/>
            </c:ext>
          </c:extLst>
        </c:ser>
        <c:dLbls>
          <c:showLegendKey val="0"/>
          <c:showVal val="0"/>
          <c:showCatName val="0"/>
          <c:showSerName val="0"/>
          <c:showPercent val="0"/>
          <c:showBubbleSize val="0"/>
        </c:dLbls>
        <c:smooth val="0"/>
        <c:axId val="1043877775"/>
        <c:axId val="1043878607"/>
      </c:lineChart>
      <c:catAx>
        <c:axId val="1043877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3878607"/>
        <c:crosses val="autoZero"/>
        <c:auto val="1"/>
        <c:lblAlgn val="ctr"/>
        <c:lblOffset val="100"/>
        <c:tickLblSkip val="1"/>
        <c:noMultiLvlLbl val="0"/>
      </c:catAx>
      <c:valAx>
        <c:axId val="104387860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3877775"/>
        <c:crosses val="autoZero"/>
        <c:crossBetween val="between"/>
        <c:majorUnit val="2.5"/>
      </c:valAx>
      <c:spPr>
        <a:noFill/>
        <a:ln>
          <a:noFill/>
        </a:ln>
        <a:effectLst/>
      </c:spPr>
    </c:plotArea>
    <c:legend>
      <c:legendPos val="b"/>
      <c:layout>
        <c:manualLayout>
          <c:xMode val="edge"/>
          <c:yMode val="edge"/>
          <c:x val="9.5503280839895011E-2"/>
          <c:y val="0.87771653543307082"/>
          <c:w val="0.81732677165354328"/>
          <c:h val="0.122283464566929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32972440944883"/>
          <c:y val="7.9710144927536225E-2"/>
          <c:w val="0.83425229658792655"/>
          <c:h val="0.62497432386169116"/>
        </c:manualLayout>
      </c:layout>
      <c:lineChart>
        <c:grouping val="standard"/>
        <c:varyColors val="0"/>
        <c:ser>
          <c:idx val="1"/>
          <c:order val="0"/>
          <c:tx>
            <c:strRef>
              <c:f>Sheet1!$AT$16</c:f>
              <c:strCache>
                <c:ptCount val="1"/>
                <c:pt idx="0">
                  <c:v>Oversupply Case</c:v>
                </c:pt>
              </c:strCache>
            </c:strRef>
          </c:tx>
          <c:spPr>
            <a:ln w="28575" cap="rnd">
              <a:solidFill>
                <a:schemeClr val="accent2"/>
              </a:solidFill>
              <a:round/>
            </a:ln>
            <a:effectLst/>
          </c:spPr>
          <c:marker>
            <c:symbol val="none"/>
          </c:marker>
          <c:cat>
            <c:numRef>
              <c:f>Sheet1!$AJ$4:$BE$4</c:f>
              <c:numCache>
                <c:formatCode>General</c:formatCode>
                <c:ptCount val="22"/>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numCache>
            </c:numRef>
          </c:cat>
          <c:val>
            <c:numRef>
              <c:f>Sheet1!$AJ$11:$BE$11</c:f>
              <c:numCache>
                <c:formatCode>0.0</c:formatCode>
                <c:ptCount val="22"/>
                <c:pt idx="0">
                  <c:v>2.07664181605</c:v>
                </c:pt>
                <c:pt idx="1">
                  <c:v>1.9628357625275001</c:v>
                </c:pt>
                <c:pt idx="2">
                  <c:v>2.4905129978899998</c:v>
                </c:pt>
                <c:pt idx="3">
                  <c:v>2.8254707211399999</c:v>
                </c:pt>
                <c:pt idx="4">
                  <c:v>3.0153593508500003</c:v>
                </c:pt>
                <c:pt idx="5">
                  <c:v>3.2550327423699996</c:v>
                </c:pt>
                <c:pt idx="6">
                  <c:v>3.3520542014200001</c:v>
                </c:pt>
                <c:pt idx="7">
                  <c:v>3.366377343495</c:v>
                </c:pt>
                <c:pt idx="8">
                  <c:v>3.3903404530499999</c:v>
                </c:pt>
                <c:pt idx="9">
                  <c:v>3.5119130032500001</c:v>
                </c:pt>
                <c:pt idx="10">
                  <c:v>3.7342230760250001</c:v>
                </c:pt>
                <c:pt idx="11">
                  <c:v>3.8984694664099995</c:v>
                </c:pt>
                <c:pt idx="12">
                  <c:v>3.8308630834749997</c:v>
                </c:pt>
                <c:pt idx="13">
                  <c:v>3.9494628886150003</c:v>
                </c:pt>
                <c:pt idx="14">
                  <c:v>4.0186309806349998</c:v>
                </c:pt>
                <c:pt idx="15">
                  <c:v>3.9461235246349999</c:v>
                </c:pt>
                <c:pt idx="16">
                  <c:v>3.9453242931249997</c:v>
                </c:pt>
                <c:pt idx="17">
                  <c:v>3.8955779914700002</c:v>
                </c:pt>
                <c:pt idx="18">
                  <c:v>3.9793618981250001</c:v>
                </c:pt>
                <c:pt idx="19">
                  <c:v>4.0973425841750002</c:v>
                </c:pt>
                <c:pt idx="20">
                  <c:v>4.1502728181849999</c:v>
                </c:pt>
                <c:pt idx="21">
                  <c:v>4.24581402991</c:v>
                </c:pt>
              </c:numCache>
            </c:numRef>
          </c:val>
          <c:smooth val="0"/>
          <c:extLst>
            <c:ext xmlns:c16="http://schemas.microsoft.com/office/drawing/2014/chart" uri="{C3380CC4-5D6E-409C-BE32-E72D297353CC}">
              <c16:uniqueId val="{00000000-E269-49B1-BF04-567FA8A138DA}"/>
            </c:ext>
          </c:extLst>
        </c:ser>
        <c:ser>
          <c:idx val="2"/>
          <c:order val="1"/>
          <c:tx>
            <c:strRef>
              <c:f>Sheet1!$AT$15</c:f>
              <c:strCache>
                <c:ptCount val="1"/>
                <c:pt idx="0">
                  <c:v>Ref. Case</c:v>
                </c:pt>
              </c:strCache>
            </c:strRef>
          </c:tx>
          <c:spPr>
            <a:ln w="28575" cap="rnd">
              <a:solidFill>
                <a:schemeClr val="accent3"/>
              </a:solidFill>
              <a:round/>
            </a:ln>
            <a:effectLst/>
          </c:spPr>
          <c:marker>
            <c:symbol val="none"/>
          </c:marker>
          <c:cat>
            <c:numRef>
              <c:f>Sheet1!$AJ$4:$BE$4</c:f>
              <c:numCache>
                <c:formatCode>General</c:formatCode>
                <c:ptCount val="22"/>
                <c:pt idx="0">
                  <c:v>2019</c:v>
                </c:pt>
                <c:pt idx="1">
                  <c:v>2020</c:v>
                </c:pt>
                <c:pt idx="2">
                  <c:v>2021</c:v>
                </c:pt>
                <c:pt idx="3">
                  <c:v>2022</c:v>
                </c:pt>
                <c:pt idx="4">
                  <c:v>2023</c:v>
                </c:pt>
                <c:pt idx="5">
                  <c:v>2024</c:v>
                </c:pt>
                <c:pt idx="6">
                  <c:v>2025</c:v>
                </c:pt>
                <c:pt idx="7">
                  <c:v>2026</c:v>
                </c:pt>
                <c:pt idx="8">
                  <c:v>2027</c:v>
                </c:pt>
                <c:pt idx="9">
                  <c:v>2028</c:v>
                </c:pt>
                <c:pt idx="10">
                  <c:v>2029</c:v>
                </c:pt>
                <c:pt idx="11">
                  <c:v>2030</c:v>
                </c:pt>
                <c:pt idx="12">
                  <c:v>2031</c:v>
                </c:pt>
                <c:pt idx="13">
                  <c:v>2032</c:v>
                </c:pt>
                <c:pt idx="14">
                  <c:v>2033</c:v>
                </c:pt>
                <c:pt idx="15">
                  <c:v>2034</c:v>
                </c:pt>
                <c:pt idx="16">
                  <c:v>2035</c:v>
                </c:pt>
                <c:pt idx="17">
                  <c:v>2036</c:v>
                </c:pt>
                <c:pt idx="18">
                  <c:v>2037</c:v>
                </c:pt>
                <c:pt idx="19">
                  <c:v>2038</c:v>
                </c:pt>
                <c:pt idx="20">
                  <c:v>2039</c:v>
                </c:pt>
                <c:pt idx="21">
                  <c:v>2040</c:v>
                </c:pt>
              </c:numCache>
            </c:numRef>
          </c:cat>
          <c:val>
            <c:numRef>
              <c:f>Sheet1!$AJ$5:$BE$5</c:f>
              <c:numCache>
                <c:formatCode>General</c:formatCode>
                <c:ptCount val="22"/>
                <c:pt idx="0">
                  <c:v>1.84240902469</c:v>
                </c:pt>
                <c:pt idx="1">
                  <c:v>1.7052393557400001</c:v>
                </c:pt>
                <c:pt idx="2">
                  <c:v>1.8258119644399999</c:v>
                </c:pt>
                <c:pt idx="3">
                  <c:v>1.8190766849</c:v>
                </c:pt>
                <c:pt idx="4">
                  <c:v>2.0188064459300001</c:v>
                </c:pt>
                <c:pt idx="5">
                  <c:v>2.19927874503</c:v>
                </c:pt>
                <c:pt idx="6">
                  <c:v>2.39420034202</c:v>
                </c:pt>
                <c:pt idx="7">
                  <c:v>2.4689670552899998</c:v>
                </c:pt>
                <c:pt idx="8">
                  <c:v>2.46936478172</c:v>
                </c:pt>
                <c:pt idx="9">
                  <c:v>2.5692926585000002</c:v>
                </c:pt>
                <c:pt idx="10">
                  <c:v>2.7643451683300002</c:v>
                </c:pt>
                <c:pt idx="11">
                  <c:v>2.85963425458</c:v>
                </c:pt>
                <c:pt idx="12">
                  <c:v>2.8609969067700001</c:v>
                </c:pt>
                <c:pt idx="13">
                  <c:v>2.8602718514599998</c:v>
                </c:pt>
                <c:pt idx="14">
                  <c:v>2.85568852887</c:v>
                </c:pt>
                <c:pt idx="15">
                  <c:v>2.8570431191400001</c:v>
                </c:pt>
                <c:pt idx="16">
                  <c:v>2.8540390985299999</c:v>
                </c:pt>
                <c:pt idx="17">
                  <c:v>2.85451418801</c:v>
                </c:pt>
                <c:pt idx="18">
                  <c:v>2.8643751636100001</c:v>
                </c:pt>
                <c:pt idx="19">
                  <c:v>2.8755005252300001</c:v>
                </c:pt>
                <c:pt idx="20">
                  <c:v>2.8851565356000002</c:v>
                </c:pt>
                <c:pt idx="21">
                  <c:v>2.8963413311499999</c:v>
                </c:pt>
              </c:numCache>
            </c:numRef>
          </c:val>
          <c:smooth val="0"/>
          <c:extLst>
            <c:ext xmlns:c16="http://schemas.microsoft.com/office/drawing/2014/chart" uri="{C3380CC4-5D6E-409C-BE32-E72D297353CC}">
              <c16:uniqueId val="{00000001-E269-49B1-BF04-567FA8A138DA}"/>
            </c:ext>
          </c:extLst>
        </c:ser>
        <c:dLbls>
          <c:showLegendKey val="0"/>
          <c:showVal val="0"/>
          <c:showCatName val="0"/>
          <c:showSerName val="0"/>
          <c:showPercent val="0"/>
          <c:showBubbleSize val="0"/>
        </c:dLbls>
        <c:smooth val="0"/>
        <c:axId val="1043877775"/>
        <c:axId val="1043878607"/>
      </c:lineChart>
      <c:catAx>
        <c:axId val="1043877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3878607"/>
        <c:crosses val="autoZero"/>
        <c:auto val="1"/>
        <c:lblAlgn val="ctr"/>
        <c:lblOffset val="100"/>
        <c:tickLblSkip val="1"/>
        <c:noMultiLvlLbl val="0"/>
      </c:catAx>
      <c:valAx>
        <c:axId val="104387860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3877775"/>
        <c:crosses val="autoZero"/>
        <c:crossBetween val="between"/>
        <c:majorUnit val="2.5"/>
      </c:valAx>
      <c:spPr>
        <a:noFill/>
        <a:ln>
          <a:noFill/>
        </a:ln>
        <a:effectLst/>
      </c:spPr>
    </c:plotArea>
    <c:legend>
      <c:legendPos val="b"/>
      <c:layout>
        <c:manualLayout>
          <c:xMode val="edge"/>
          <c:yMode val="edge"/>
          <c:x val="9.5503280839895011E-2"/>
          <c:y val="0.87771653543307082"/>
          <c:w val="0.81732677165354328"/>
          <c:h val="0.122283464566929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0.39093</cdr:x>
      <cdr:y>0.80491</cdr:y>
    </cdr:from>
    <cdr:to>
      <cdr:x>0.70973</cdr:x>
      <cdr:y>0.89247</cdr:y>
    </cdr:to>
    <cdr:sp macro="" textlink="">
      <cdr:nvSpPr>
        <cdr:cNvPr id="2" name="TextBox 1"/>
        <cdr:cNvSpPr txBox="1"/>
      </cdr:nvSpPr>
      <cdr:spPr>
        <a:xfrm xmlns:a="http://schemas.openxmlformats.org/drawingml/2006/main">
          <a:off x="1116340" y="1495538"/>
          <a:ext cx="910364" cy="1626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Volume (bcm)</a:t>
          </a:r>
        </a:p>
      </cdr:txBody>
    </cdr:sp>
  </cdr:relSizeAnchor>
  <cdr:relSizeAnchor xmlns:cdr="http://schemas.openxmlformats.org/drawingml/2006/chartDrawing">
    <cdr:from>
      <cdr:x>0</cdr:x>
      <cdr:y>0</cdr:y>
    </cdr:from>
    <cdr:to>
      <cdr:x>0.08466</cdr:x>
      <cdr:y>0.93504</cdr:y>
    </cdr:to>
    <cdr:sp macro="" textlink="">
      <cdr:nvSpPr>
        <cdr:cNvPr id="3" name="TextBox 2"/>
        <cdr:cNvSpPr txBox="1"/>
      </cdr:nvSpPr>
      <cdr:spPr>
        <a:xfrm xmlns:a="http://schemas.openxmlformats.org/drawingml/2006/main">
          <a:off x="0" y="0"/>
          <a:ext cx="241755" cy="1737314"/>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800"/>
            <a:t>Total</a:t>
          </a:r>
          <a:r>
            <a:rPr lang="en-US" sz="800" baseline="0"/>
            <a:t> c</a:t>
          </a:r>
          <a:r>
            <a:rPr lang="en-US" sz="800"/>
            <a:t>ost with liquids</a:t>
          </a:r>
          <a:r>
            <a:rPr lang="en-US" sz="800" baseline="0"/>
            <a:t> credit (</a:t>
          </a:r>
          <a:r>
            <a:rPr lang="en-US" sz="800"/>
            <a:t>$/mmbtu)</a:t>
          </a:r>
        </a:p>
      </cdr:txBody>
    </cdr:sp>
  </cdr:relSizeAnchor>
</c:userShapes>
</file>

<file path=word/drawings/drawing2.xml><?xml version="1.0" encoding="utf-8"?>
<c:userShapes xmlns:c="http://schemas.openxmlformats.org/drawingml/2006/chart">
  <cdr:relSizeAnchor xmlns:cdr="http://schemas.openxmlformats.org/drawingml/2006/chartDrawing">
    <cdr:from>
      <cdr:x>0.42591</cdr:x>
      <cdr:y>0.83482</cdr:y>
    </cdr:from>
    <cdr:to>
      <cdr:x>0.74471</cdr:x>
      <cdr:y>0.92238</cdr:y>
    </cdr:to>
    <cdr:sp macro="" textlink="">
      <cdr:nvSpPr>
        <cdr:cNvPr id="2" name="TextBox 1"/>
        <cdr:cNvSpPr txBox="1"/>
      </cdr:nvSpPr>
      <cdr:spPr>
        <a:xfrm xmlns:a="http://schemas.openxmlformats.org/drawingml/2006/main">
          <a:off x="1216233" y="1570185"/>
          <a:ext cx="910364" cy="1646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Volume (bcm)</a:t>
          </a:r>
        </a:p>
      </cdr:txBody>
    </cdr:sp>
  </cdr:relSizeAnchor>
  <cdr:relSizeAnchor xmlns:cdr="http://schemas.openxmlformats.org/drawingml/2006/chartDrawing">
    <cdr:from>
      <cdr:x>0</cdr:x>
      <cdr:y>0</cdr:y>
    </cdr:from>
    <cdr:to>
      <cdr:x>0.09044</cdr:x>
      <cdr:y>0.93497</cdr:y>
    </cdr:to>
    <cdr:sp macro="" textlink="">
      <cdr:nvSpPr>
        <cdr:cNvPr id="3" name="TextBox 2"/>
        <cdr:cNvSpPr txBox="1"/>
      </cdr:nvSpPr>
      <cdr:spPr>
        <a:xfrm xmlns:a="http://schemas.openxmlformats.org/drawingml/2006/main">
          <a:off x="0" y="0"/>
          <a:ext cx="258260" cy="1758561"/>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800"/>
            <a:t>Total</a:t>
          </a:r>
          <a:r>
            <a:rPr lang="en-US" sz="800" baseline="0"/>
            <a:t> c</a:t>
          </a:r>
          <a:r>
            <a:rPr lang="en-US" sz="800"/>
            <a:t>ost with liquids</a:t>
          </a:r>
          <a:r>
            <a:rPr lang="en-US" sz="800" baseline="0"/>
            <a:t> credit (</a:t>
          </a:r>
          <a:r>
            <a:rPr lang="en-US" sz="800"/>
            <a:t>$/mmbtu)</a:t>
          </a:r>
        </a:p>
      </cdr:txBody>
    </cdr:sp>
  </cdr:relSizeAnchor>
</c:userShapes>
</file>

<file path=word/drawings/drawing3.xml><?xml version="1.0" encoding="utf-8"?>
<c:userShapes xmlns:c="http://schemas.openxmlformats.org/drawingml/2006/chart">
  <cdr:relSizeAnchor xmlns:cdr="http://schemas.openxmlformats.org/drawingml/2006/chartDrawing">
    <cdr:from>
      <cdr:x>0.42008</cdr:x>
      <cdr:y>0.83879</cdr:y>
    </cdr:from>
    <cdr:to>
      <cdr:x>0.73888</cdr:x>
      <cdr:y>0.92635</cdr:y>
    </cdr:to>
    <cdr:sp macro="" textlink="">
      <cdr:nvSpPr>
        <cdr:cNvPr id="2" name="TextBox 1"/>
        <cdr:cNvSpPr txBox="1"/>
      </cdr:nvSpPr>
      <cdr:spPr>
        <a:xfrm xmlns:a="http://schemas.openxmlformats.org/drawingml/2006/main">
          <a:off x="1216396" y="1750226"/>
          <a:ext cx="923117" cy="1827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Volume (bcm)</a:t>
          </a:r>
        </a:p>
      </cdr:txBody>
    </cdr:sp>
  </cdr:relSizeAnchor>
  <cdr:relSizeAnchor xmlns:cdr="http://schemas.openxmlformats.org/drawingml/2006/chartDrawing">
    <cdr:from>
      <cdr:x>0</cdr:x>
      <cdr:y>0</cdr:y>
    </cdr:from>
    <cdr:to>
      <cdr:x>0.08466</cdr:x>
      <cdr:y>0.85005</cdr:y>
    </cdr:to>
    <cdr:sp macro="" textlink="">
      <cdr:nvSpPr>
        <cdr:cNvPr id="3" name="TextBox 2"/>
        <cdr:cNvSpPr txBox="1"/>
      </cdr:nvSpPr>
      <cdr:spPr>
        <a:xfrm xmlns:a="http://schemas.openxmlformats.org/drawingml/2006/main">
          <a:off x="0" y="0"/>
          <a:ext cx="245141" cy="1773731"/>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800"/>
            <a:t>Total</a:t>
          </a:r>
          <a:r>
            <a:rPr lang="en-US" sz="800" baseline="0"/>
            <a:t> c</a:t>
          </a:r>
          <a:r>
            <a:rPr lang="en-US" sz="800"/>
            <a:t>ost with liquids</a:t>
          </a:r>
          <a:r>
            <a:rPr lang="en-US" sz="800" baseline="0"/>
            <a:t> credit (</a:t>
          </a:r>
          <a:r>
            <a:rPr lang="en-US" sz="800"/>
            <a:t>$/mmbtu)</a:t>
          </a:r>
        </a:p>
      </cdr:txBody>
    </cdr:sp>
  </cdr:relSizeAnchor>
</c:userShapes>
</file>

<file path=word/drawings/drawing4.xml><?xml version="1.0" encoding="utf-8"?>
<c:userShapes xmlns:c="http://schemas.openxmlformats.org/drawingml/2006/chart">
  <cdr:relSizeAnchor xmlns:cdr="http://schemas.openxmlformats.org/drawingml/2006/chartDrawing">
    <cdr:from>
      <cdr:x>0.14688</cdr:x>
      <cdr:y>0.07065</cdr:y>
    </cdr:from>
    <cdr:to>
      <cdr:x>0.4</cdr:x>
      <cdr:y>0.20652</cdr:y>
    </cdr:to>
    <cdr:sp macro="" textlink="">
      <cdr:nvSpPr>
        <cdr:cNvPr id="2" name="TextBox 1"/>
        <cdr:cNvSpPr txBox="1"/>
      </cdr:nvSpPr>
      <cdr:spPr>
        <a:xfrm xmlns:a="http://schemas.openxmlformats.org/drawingml/2006/main">
          <a:off x="447675" y="123825"/>
          <a:ext cx="7715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t>Asia</a:t>
          </a:r>
        </a:p>
      </cdr:txBody>
    </cdr:sp>
  </cdr:relSizeAnchor>
</c:userShapes>
</file>

<file path=word/drawings/drawing5.xml><?xml version="1.0" encoding="utf-8"?>
<c:userShapes xmlns:c="http://schemas.openxmlformats.org/drawingml/2006/chart">
  <cdr:relSizeAnchor xmlns:cdr="http://schemas.openxmlformats.org/drawingml/2006/chartDrawing">
    <cdr:from>
      <cdr:x>0.10729</cdr:x>
      <cdr:y>0.03986</cdr:y>
    </cdr:from>
    <cdr:to>
      <cdr:x>0.36042</cdr:x>
      <cdr:y>0.17572</cdr:y>
    </cdr:to>
    <cdr:sp macro="" textlink="">
      <cdr:nvSpPr>
        <cdr:cNvPr id="2" name="TextBox 1"/>
        <cdr:cNvSpPr txBox="1"/>
      </cdr:nvSpPr>
      <cdr:spPr>
        <a:xfrm xmlns:a="http://schemas.openxmlformats.org/drawingml/2006/main">
          <a:off x="327025" y="69850"/>
          <a:ext cx="771525" cy="23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a:t>Europe</a:t>
          </a:r>
        </a:p>
      </cdr:txBody>
    </cdr:sp>
  </cdr:relSizeAnchor>
</c:userShapes>
</file>

<file path=word/drawings/drawing6.xml><?xml version="1.0" encoding="utf-8"?>
<c:userShapes xmlns:c="http://schemas.openxmlformats.org/drawingml/2006/chart">
  <cdr:relSizeAnchor xmlns:cdr="http://schemas.openxmlformats.org/drawingml/2006/chartDrawing">
    <cdr:from>
      <cdr:x>0.10729</cdr:x>
      <cdr:y>0.05616</cdr:y>
    </cdr:from>
    <cdr:to>
      <cdr:x>0.49063</cdr:x>
      <cdr:y>0.19203</cdr:y>
    </cdr:to>
    <cdr:sp macro="" textlink="">
      <cdr:nvSpPr>
        <cdr:cNvPr id="2" name="TextBox 1"/>
        <cdr:cNvSpPr txBox="1"/>
      </cdr:nvSpPr>
      <cdr:spPr>
        <a:xfrm xmlns:a="http://schemas.openxmlformats.org/drawingml/2006/main">
          <a:off x="327025" y="98425"/>
          <a:ext cx="1168400" cy="23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a:t>Latin America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1195AE4FEC774195B352353586C922" ma:contentTypeVersion="0" ma:contentTypeDescription="Create a new document." ma:contentTypeScope="" ma:versionID="719c7259835b803d0284b86fb68cac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54A99-1047-4245-B280-C79BA05CC8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04C6CF-6D36-4B97-81B1-4DAFF886E2BC}">
  <ds:schemaRefs>
    <ds:schemaRef ds:uri="http://schemas.microsoft.com/sharepoint/v3/contenttype/forms"/>
  </ds:schemaRefs>
</ds:datastoreItem>
</file>

<file path=customXml/itemProps3.xml><?xml version="1.0" encoding="utf-8"?>
<ds:datastoreItem xmlns:ds="http://schemas.openxmlformats.org/officeDocument/2006/customXml" ds:itemID="{5978CDC3-C29C-4989-965B-F3C59B093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84BCB9-2A24-45F9-B1BD-9FA3077B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5218</Words>
  <Characters>29747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Apokin</dc:creator>
  <cp:keywords/>
  <dc:description/>
  <cp:lastModifiedBy>Alexander Apokin</cp:lastModifiedBy>
  <cp:revision>3</cp:revision>
  <cp:lastPrinted>2019-02-20T11:58:00Z</cp:lastPrinted>
  <dcterms:created xsi:type="dcterms:W3CDTF">2019-03-28T11:06:00Z</dcterms:created>
  <dcterms:modified xsi:type="dcterms:W3CDTF">2019-03-28T11:07:00Z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0x0101003A1195AE4FEC774195B352353586C922</vt:lpwstr>
  </property>
</Properties>
</file>